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93" w:rsidRDefault="00405293" w:rsidP="00405293">
      <w:pPr>
        <w:ind w:firstLineChars="200" w:firstLine="422"/>
        <w:jc w:val="center"/>
        <w:rPr>
          <w:b/>
        </w:rPr>
      </w:pPr>
      <w:r>
        <w:rPr>
          <w:b/>
          <w:noProof/>
        </w:rPr>
        <w:drawing>
          <wp:inline distT="0" distB="0" distL="0" distR="0">
            <wp:extent cx="5274310" cy="218376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183765"/>
                    </a:xfrm>
                    <a:prstGeom prst="rect">
                      <a:avLst/>
                    </a:prstGeom>
                  </pic:spPr>
                </pic:pic>
              </a:graphicData>
            </a:graphic>
          </wp:inline>
        </w:drawing>
      </w:r>
    </w:p>
    <w:p w:rsidR="00405293" w:rsidRDefault="00405293" w:rsidP="00405293">
      <w:pPr>
        <w:ind w:firstLineChars="200" w:firstLine="422"/>
        <w:jc w:val="center"/>
        <w:rPr>
          <w:b/>
        </w:rPr>
      </w:pPr>
      <w:r w:rsidRPr="00405293">
        <w:rPr>
          <w:rFonts w:hint="eastAsia"/>
          <w:b/>
        </w:rPr>
        <w:t>2021</w:t>
      </w:r>
      <w:r w:rsidRPr="00405293">
        <w:rPr>
          <w:rFonts w:hint="eastAsia"/>
          <w:b/>
        </w:rPr>
        <w:t>年度证券资产评估市场分析报告</w:t>
      </w:r>
    </w:p>
    <w:p w:rsidR="00405293" w:rsidRDefault="00405293" w:rsidP="00405293">
      <w:pPr>
        <w:ind w:firstLineChars="200" w:firstLine="422"/>
        <w:rPr>
          <w:rFonts w:hint="eastAsia"/>
          <w:b/>
        </w:rPr>
      </w:pPr>
    </w:p>
    <w:p w:rsidR="00405293" w:rsidRDefault="00405293" w:rsidP="00405293">
      <w:pPr>
        <w:ind w:firstLineChars="200" w:firstLine="420"/>
        <w:rPr>
          <w:rFonts w:hint="eastAsia"/>
        </w:rPr>
      </w:pPr>
      <w:r>
        <w:rPr>
          <w:rFonts w:hint="eastAsia"/>
        </w:rPr>
        <w:t>为便于市场各方了解证券资产评估市场情况，引导资产评估机构规范执业，我部组织专门力量对</w:t>
      </w:r>
      <w:r>
        <w:rPr>
          <w:rFonts w:hint="eastAsia"/>
        </w:rPr>
        <w:t>2021</w:t>
      </w:r>
      <w:r>
        <w:rPr>
          <w:rFonts w:hint="eastAsia"/>
        </w:rPr>
        <w:t>年度证券资产评估市场进行分析，形成本报告。报告主要内容为从事证券服务业务资产评估机构（以下简称证券评估机构）、证券资产评估业务、并购重组委审核项目所涉资产评估、证券业务资产评估折现率情况、以及证券资产评估主要执业问题等。</w:t>
      </w:r>
    </w:p>
    <w:p w:rsidR="00405293" w:rsidRDefault="00405293" w:rsidP="00405293">
      <w:pPr>
        <w:ind w:firstLineChars="200" w:firstLine="420"/>
        <w:rPr>
          <w:rFonts w:hint="eastAsia"/>
        </w:rPr>
      </w:pPr>
      <w:r>
        <w:rPr>
          <w:rFonts w:hint="eastAsia"/>
        </w:rPr>
        <w:t>一、证券评估机构情况</w:t>
      </w:r>
    </w:p>
    <w:p w:rsidR="00405293" w:rsidRDefault="00405293" w:rsidP="00405293">
      <w:pPr>
        <w:ind w:firstLineChars="200" w:firstLine="420"/>
        <w:rPr>
          <w:rFonts w:hint="eastAsia"/>
        </w:rPr>
      </w:pPr>
      <w:r>
        <w:rPr>
          <w:rFonts w:hint="eastAsia"/>
        </w:rPr>
        <w:t>（一）证券评估机构数量持续增加，新增机构主要在北京、上海、江苏、广东等地</w:t>
      </w:r>
    </w:p>
    <w:p w:rsidR="00405293" w:rsidRDefault="00405293" w:rsidP="00405293">
      <w:pPr>
        <w:ind w:firstLineChars="200" w:firstLine="420"/>
        <w:rPr>
          <w:rFonts w:hint="eastAsia"/>
        </w:rPr>
      </w:pPr>
      <w:r>
        <w:rPr>
          <w:rFonts w:hint="eastAsia"/>
        </w:rPr>
        <w:t>截至</w:t>
      </w:r>
      <w:r>
        <w:rPr>
          <w:rFonts w:hint="eastAsia"/>
        </w:rPr>
        <w:t>2021</w:t>
      </w:r>
      <w:r>
        <w:rPr>
          <w:rFonts w:hint="eastAsia"/>
        </w:rPr>
        <w:t>年底，证券评估机构为</w:t>
      </w:r>
      <w:r>
        <w:rPr>
          <w:rFonts w:hint="eastAsia"/>
        </w:rPr>
        <w:t>221</w:t>
      </w:r>
      <w:r>
        <w:rPr>
          <w:rFonts w:hint="eastAsia"/>
        </w:rPr>
        <w:t>家，较上年增加</w:t>
      </w:r>
      <w:r>
        <w:rPr>
          <w:rFonts w:hint="eastAsia"/>
        </w:rPr>
        <w:t>61</w:t>
      </w:r>
      <w:r>
        <w:rPr>
          <w:rFonts w:hint="eastAsia"/>
        </w:rPr>
        <w:t>家，增幅为</w:t>
      </w:r>
      <w:r>
        <w:rPr>
          <w:rFonts w:hint="eastAsia"/>
        </w:rPr>
        <w:t>38.1%</w:t>
      </w:r>
      <w:r>
        <w:rPr>
          <w:rFonts w:hint="eastAsia"/>
        </w:rPr>
        <w:t>，主要分布北京（</w:t>
      </w:r>
      <w:r>
        <w:rPr>
          <w:rFonts w:hint="eastAsia"/>
        </w:rPr>
        <w:t>72</w:t>
      </w:r>
      <w:r>
        <w:rPr>
          <w:rFonts w:hint="eastAsia"/>
        </w:rPr>
        <w:t>家）、深圳（</w:t>
      </w:r>
      <w:r>
        <w:rPr>
          <w:rFonts w:hint="eastAsia"/>
        </w:rPr>
        <w:t>24</w:t>
      </w:r>
      <w:r>
        <w:rPr>
          <w:rFonts w:hint="eastAsia"/>
        </w:rPr>
        <w:t>家）、上海（</w:t>
      </w:r>
      <w:r>
        <w:rPr>
          <w:rFonts w:hint="eastAsia"/>
        </w:rPr>
        <w:t>19</w:t>
      </w:r>
      <w:r>
        <w:rPr>
          <w:rFonts w:hint="eastAsia"/>
        </w:rPr>
        <w:t>家）、江苏（</w:t>
      </w:r>
      <w:r>
        <w:rPr>
          <w:rFonts w:hint="eastAsia"/>
        </w:rPr>
        <w:t>16</w:t>
      </w:r>
      <w:r>
        <w:rPr>
          <w:rFonts w:hint="eastAsia"/>
        </w:rPr>
        <w:t>家）、广东（</w:t>
      </w:r>
      <w:r>
        <w:rPr>
          <w:rFonts w:hint="eastAsia"/>
        </w:rPr>
        <w:t>10</w:t>
      </w:r>
      <w:r>
        <w:rPr>
          <w:rFonts w:hint="eastAsia"/>
        </w:rPr>
        <w:t>家）等</w:t>
      </w:r>
      <w:r>
        <w:rPr>
          <w:rFonts w:hint="eastAsia"/>
        </w:rPr>
        <w:t>28</w:t>
      </w:r>
      <w:r>
        <w:rPr>
          <w:rFonts w:hint="eastAsia"/>
        </w:rPr>
        <w:t>个省、市，其中北上广深江苏地区的证券评估机构合计</w:t>
      </w:r>
      <w:r>
        <w:rPr>
          <w:rFonts w:hint="eastAsia"/>
        </w:rPr>
        <w:t>141</w:t>
      </w:r>
      <w:r>
        <w:rPr>
          <w:rFonts w:hint="eastAsia"/>
        </w:rPr>
        <w:t>家，占机构总数的</w:t>
      </w:r>
      <w:r>
        <w:rPr>
          <w:rFonts w:hint="eastAsia"/>
        </w:rPr>
        <w:t>63.8%</w:t>
      </w:r>
      <w:r>
        <w:rPr>
          <w:rFonts w:hint="eastAsia"/>
        </w:rPr>
        <w:t>。新增机构主要来自北京（</w:t>
      </w:r>
      <w:r>
        <w:rPr>
          <w:rFonts w:hint="eastAsia"/>
        </w:rPr>
        <w:t>12</w:t>
      </w:r>
      <w:r>
        <w:rPr>
          <w:rFonts w:hint="eastAsia"/>
        </w:rPr>
        <w:t>家）、上海（</w:t>
      </w:r>
      <w:r>
        <w:rPr>
          <w:rFonts w:hint="eastAsia"/>
        </w:rPr>
        <w:t>6</w:t>
      </w:r>
      <w:r>
        <w:rPr>
          <w:rFonts w:hint="eastAsia"/>
        </w:rPr>
        <w:t>家）、江苏（</w:t>
      </w:r>
      <w:r>
        <w:rPr>
          <w:rFonts w:hint="eastAsia"/>
        </w:rPr>
        <w:t>7</w:t>
      </w:r>
      <w:r>
        <w:rPr>
          <w:rFonts w:hint="eastAsia"/>
        </w:rPr>
        <w:t>家）、广东（</w:t>
      </w:r>
      <w:r>
        <w:rPr>
          <w:rFonts w:hint="eastAsia"/>
        </w:rPr>
        <w:t>5</w:t>
      </w:r>
      <w:r>
        <w:rPr>
          <w:rFonts w:hint="eastAsia"/>
        </w:rPr>
        <w:t>家）、四川（</w:t>
      </w:r>
      <w:r>
        <w:rPr>
          <w:rFonts w:hint="eastAsia"/>
        </w:rPr>
        <w:t>4</w:t>
      </w:r>
      <w:r>
        <w:rPr>
          <w:rFonts w:hint="eastAsia"/>
        </w:rPr>
        <w:t>家）等地。其中，上海、江苏、广东等地证券评估机构增长率均在</w:t>
      </w:r>
      <w:r>
        <w:rPr>
          <w:rFonts w:hint="eastAsia"/>
        </w:rPr>
        <w:t>30%</w:t>
      </w:r>
      <w:r>
        <w:rPr>
          <w:rFonts w:hint="eastAsia"/>
        </w:rPr>
        <w:t>以上。</w:t>
      </w:r>
    </w:p>
    <w:p w:rsidR="00405293" w:rsidRDefault="00405293" w:rsidP="00405293">
      <w:pPr>
        <w:ind w:firstLineChars="200" w:firstLine="420"/>
        <w:rPr>
          <w:rFonts w:hint="eastAsia"/>
        </w:rPr>
      </w:pPr>
      <w:r>
        <w:rPr>
          <w:rFonts w:hint="eastAsia"/>
        </w:rPr>
        <w:t>（二）评估人员有所增长，新增机构评估人员较少</w:t>
      </w:r>
    </w:p>
    <w:p w:rsidR="00405293" w:rsidRDefault="00405293" w:rsidP="00405293">
      <w:pPr>
        <w:ind w:firstLineChars="200" w:firstLine="420"/>
        <w:rPr>
          <w:rFonts w:hint="eastAsia"/>
        </w:rPr>
      </w:pPr>
      <w:r>
        <w:rPr>
          <w:rFonts w:hint="eastAsia"/>
        </w:rPr>
        <w:t>截至</w:t>
      </w:r>
      <w:r>
        <w:rPr>
          <w:rFonts w:hint="eastAsia"/>
        </w:rPr>
        <w:t>2021</w:t>
      </w:r>
      <w:r>
        <w:rPr>
          <w:rFonts w:hint="eastAsia"/>
        </w:rPr>
        <w:t>年底，证券评估机构共有资产评估师</w:t>
      </w:r>
      <w:r>
        <w:rPr>
          <w:rFonts w:hint="eastAsia"/>
        </w:rPr>
        <w:t>8,128</w:t>
      </w:r>
      <w:r>
        <w:rPr>
          <w:rFonts w:hint="eastAsia"/>
        </w:rPr>
        <w:t>人，同比增长</w:t>
      </w:r>
      <w:r>
        <w:rPr>
          <w:rFonts w:hint="eastAsia"/>
        </w:rPr>
        <w:t>6.8%</w:t>
      </w:r>
      <w:r>
        <w:rPr>
          <w:rFonts w:hint="eastAsia"/>
        </w:rPr>
        <w:t>，主要源于机构数量的增长。资产评估师平均每家</w:t>
      </w:r>
      <w:r>
        <w:rPr>
          <w:rFonts w:hint="eastAsia"/>
        </w:rPr>
        <w:t>37</w:t>
      </w:r>
      <w:r>
        <w:rPr>
          <w:rFonts w:hint="eastAsia"/>
        </w:rPr>
        <w:t>人，同比下降</w:t>
      </w:r>
      <w:r>
        <w:rPr>
          <w:rFonts w:hint="eastAsia"/>
        </w:rPr>
        <w:t>22.9%</w:t>
      </w:r>
      <w:r>
        <w:rPr>
          <w:rFonts w:hint="eastAsia"/>
        </w:rPr>
        <w:t>。其中，新增机构的资产评估师人数平均为</w:t>
      </w:r>
      <w:r>
        <w:rPr>
          <w:rFonts w:hint="eastAsia"/>
        </w:rPr>
        <w:t>14</w:t>
      </w:r>
      <w:r>
        <w:rPr>
          <w:rFonts w:hint="eastAsia"/>
        </w:rPr>
        <w:t>人，约为行业平均水平的</w:t>
      </w:r>
      <w:r>
        <w:rPr>
          <w:rFonts w:hint="eastAsia"/>
        </w:rPr>
        <w:t>37.8%</w:t>
      </w:r>
      <w:r>
        <w:rPr>
          <w:rFonts w:hint="eastAsia"/>
        </w:rPr>
        <w:t>，</w:t>
      </w:r>
      <w:r>
        <w:rPr>
          <w:rFonts w:hint="eastAsia"/>
        </w:rPr>
        <w:t>23</w:t>
      </w:r>
      <w:r>
        <w:rPr>
          <w:rFonts w:hint="eastAsia"/>
        </w:rPr>
        <w:t>家新增证券评估机构的资产评估师少于</w:t>
      </w:r>
      <w:r>
        <w:rPr>
          <w:rFonts w:hint="eastAsia"/>
        </w:rPr>
        <w:t>10</w:t>
      </w:r>
      <w:r>
        <w:rPr>
          <w:rFonts w:hint="eastAsia"/>
        </w:rPr>
        <w:t>人，显著低于行业平均水平。</w:t>
      </w:r>
    </w:p>
    <w:p w:rsidR="00405293" w:rsidRDefault="00405293" w:rsidP="00405293">
      <w:pPr>
        <w:ind w:firstLineChars="200" w:firstLine="420"/>
        <w:rPr>
          <w:rFonts w:hint="eastAsia"/>
        </w:rPr>
      </w:pPr>
      <w:r>
        <w:rPr>
          <w:rFonts w:hint="eastAsia"/>
        </w:rPr>
        <w:t>（三）证券评估机构业务收入略有增长，新增机构各项业务收入占比较低</w:t>
      </w:r>
    </w:p>
    <w:p w:rsidR="00405293" w:rsidRDefault="00405293" w:rsidP="00405293">
      <w:pPr>
        <w:ind w:firstLineChars="200" w:firstLine="420"/>
        <w:rPr>
          <w:rFonts w:hint="eastAsia"/>
        </w:rPr>
      </w:pPr>
      <w:r>
        <w:rPr>
          <w:rFonts w:hint="eastAsia"/>
        </w:rPr>
        <w:t>从收入规模看，证券评估机构收入总额为</w:t>
      </w:r>
      <w:r>
        <w:rPr>
          <w:rFonts w:hint="eastAsia"/>
        </w:rPr>
        <w:t>105.8</w:t>
      </w:r>
      <w:r>
        <w:rPr>
          <w:rFonts w:hint="eastAsia"/>
        </w:rPr>
        <w:t>亿元，较上年增长</w:t>
      </w:r>
      <w:r>
        <w:rPr>
          <w:rFonts w:hint="eastAsia"/>
        </w:rPr>
        <w:t>14.7%</w:t>
      </w:r>
      <w:r>
        <w:rPr>
          <w:rFonts w:hint="eastAsia"/>
        </w:rPr>
        <w:t>，其中资产评估收入为</w:t>
      </w:r>
      <w:r>
        <w:rPr>
          <w:rFonts w:hint="eastAsia"/>
        </w:rPr>
        <w:t>80.1</w:t>
      </w:r>
      <w:r>
        <w:rPr>
          <w:rFonts w:hint="eastAsia"/>
        </w:rPr>
        <w:t>亿元，占收入总额的</w:t>
      </w:r>
      <w:r>
        <w:rPr>
          <w:rFonts w:hint="eastAsia"/>
        </w:rPr>
        <w:t>75.8%</w:t>
      </w:r>
      <w:r>
        <w:rPr>
          <w:rFonts w:hint="eastAsia"/>
        </w:rPr>
        <w:t>，较上年增长</w:t>
      </w:r>
      <w:r>
        <w:rPr>
          <w:rFonts w:hint="eastAsia"/>
        </w:rPr>
        <w:t>9.7%</w:t>
      </w:r>
      <w:r>
        <w:rPr>
          <w:rFonts w:hint="eastAsia"/>
        </w:rPr>
        <w:t>；证券评估收入为</w:t>
      </w:r>
      <w:r>
        <w:rPr>
          <w:rFonts w:hint="eastAsia"/>
        </w:rPr>
        <w:t>14</w:t>
      </w:r>
      <w:r>
        <w:rPr>
          <w:rFonts w:hint="eastAsia"/>
        </w:rPr>
        <w:t>亿元，占收入总额的</w:t>
      </w:r>
      <w:r>
        <w:rPr>
          <w:rFonts w:hint="eastAsia"/>
        </w:rPr>
        <w:t>13.2%</w:t>
      </w:r>
      <w:r>
        <w:rPr>
          <w:rFonts w:hint="eastAsia"/>
        </w:rPr>
        <w:t>，较上年增长</w:t>
      </w:r>
      <w:r>
        <w:rPr>
          <w:rFonts w:hint="eastAsia"/>
        </w:rPr>
        <w:t>6.7%</w:t>
      </w:r>
      <w:r>
        <w:rPr>
          <w:rFonts w:hint="eastAsia"/>
        </w:rPr>
        <w:t>，证券评估收入增长不及收入总额增长。新增机构收入总额为</w:t>
      </w:r>
      <w:r>
        <w:rPr>
          <w:rFonts w:hint="eastAsia"/>
        </w:rPr>
        <w:t>10</w:t>
      </w:r>
      <w:r>
        <w:rPr>
          <w:rFonts w:hint="eastAsia"/>
        </w:rPr>
        <w:t>亿元，资产评估业务收入</w:t>
      </w:r>
      <w:r>
        <w:rPr>
          <w:rFonts w:hint="eastAsia"/>
        </w:rPr>
        <w:t>6</w:t>
      </w:r>
      <w:r>
        <w:rPr>
          <w:rFonts w:hint="eastAsia"/>
        </w:rPr>
        <w:t>亿元，占新增机构收入总额的</w:t>
      </w:r>
      <w:r>
        <w:rPr>
          <w:rFonts w:hint="eastAsia"/>
        </w:rPr>
        <w:t>60%</w:t>
      </w:r>
      <w:r>
        <w:rPr>
          <w:rFonts w:hint="eastAsia"/>
        </w:rPr>
        <w:t>，证券评估收入</w:t>
      </w:r>
      <w:r>
        <w:rPr>
          <w:rFonts w:hint="eastAsia"/>
        </w:rPr>
        <w:t>998.1</w:t>
      </w:r>
      <w:r>
        <w:rPr>
          <w:rFonts w:hint="eastAsia"/>
        </w:rPr>
        <w:t>万元，占新增机构收入总额的</w:t>
      </w:r>
      <w:r>
        <w:rPr>
          <w:rFonts w:hint="eastAsia"/>
        </w:rPr>
        <w:t>1%</w:t>
      </w:r>
      <w:r>
        <w:rPr>
          <w:rFonts w:hint="eastAsia"/>
        </w:rPr>
        <w:t>，新增机构证券评估收入占比低。</w:t>
      </w:r>
    </w:p>
    <w:p w:rsidR="00405293" w:rsidRDefault="00405293" w:rsidP="00405293">
      <w:pPr>
        <w:ind w:firstLineChars="200" w:firstLine="420"/>
        <w:rPr>
          <w:rFonts w:hint="eastAsia"/>
        </w:rPr>
      </w:pPr>
      <w:r>
        <w:rPr>
          <w:rFonts w:hint="eastAsia"/>
        </w:rPr>
        <w:t>（四）行政监管不断强化，程序问题较为突出</w:t>
      </w:r>
    </w:p>
    <w:p w:rsidR="00405293" w:rsidRDefault="00405293" w:rsidP="00405293">
      <w:pPr>
        <w:ind w:firstLineChars="200" w:firstLine="420"/>
        <w:rPr>
          <w:rFonts w:hint="eastAsia"/>
        </w:rPr>
      </w:pPr>
      <w:r>
        <w:rPr>
          <w:rFonts w:hint="eastAsia"/>
        </w:rPr>
        <w:t>2021</w:t>
      </w:r>
      <w:r>
        <w:rPr>
          <w:rFonts w:hint="eastAsia"/>
        </w:rPr>
        <w:t>年证监会及其派出机构对</w:t>
      </w:r>
      <w:r>
        <w:rPr>
          <w:rFonts w:hint="eastAsia"/>
        </w:rPr>
        <w:t>3</w:t>
      </w:r>
      <w:r>
        <w:rPr>
          <w:rFonts w:hint="eastAsia"/>
        </w:rPr>
        <w:t>家资产评估机构及其资产评估师进行了</w:t>
      </w:r>
      <w:r>
        <w:rPr>
          <w:rFonts w:hint="eastAsia"/>
        </w:rPr>
        <w:t>3</w:t>
      </w:r>
      <w:r>
        <w:rPr>
          <w:rFonts w:hint="eastAsia"/>
        </w:rPr>
        <w:t>家次、</w:t>
      </w:r>
      <w:r>
        <w:rPr>
          <w:rFonts w:hint="eastAsia"/>
        </w:rPr>
        <w:t>4</w:t>
      </w:r>
      <w:r>
        <w:rPr>
          <w:rFonts w:hint="eastAsia"/>
        </w:rPr>
        <w:t>人次的行政处罚，较</w:t>
      </w:r>
      <w:r>
        <w:rPr>
          <w:rFonts w:hint="eastAsia"/>
        </w:rPr>
        <w:t>2020</w:t>
      </w:r>
      <w:r>
        <w:rPr>
          <w:rFonts w:hint="eastAsia"/>
        </w:rPr>
        <w:t>年分别增加</w:t>
      </w:r>
      <w:r>
        <w:rPr>
          <w:rFonts w:hint="eastAsia"/>
        </w:rPr>
        <w:t>3</w:t>
      </w:r>
      <w:r>
        <w:rPr>
          <w:rFonts w:hint="eastAsia"/>
        </w:rPr>
        <w:t>家次、</w:t>
      </w:r>
      <w:r>
        <w:rPr>
          <w:rFonts w:hint="eastAsia"/>
        </w:rPr>
        <w:t>4</w:t>
      </w:r>
      <w:r>
        <w:rPr>
          <w:rFonts w:hint="eastAsia"/>
        </w:rPr>
        <w:t>人次。对</w:t>
      </w:r>
      <w:r>
        <w:rPr>
          <w:rFonts w:hint="eastAsia"/>
        </w:rPr>
        <w:t>22</w:t>
      </w:r>
      <w:r>
        <w:rPr>
          <w:rFonts w:hint="eastAsia"/>
        </w:rPr>
        <w:t>家资产评估机构及其资产评估师进行了</w:t>
      </w:r>
      <w:r>
        <w:rPr>
          <w:rFonts w:hint="eastAsia"/>
        </w:rPr>
        <w:t>23</w:t>
      </w:r>
      <w:r>
        <w:rPr>
          <w:rFonts w:hint="eastAsia"/>
        </w:rPr>
        <w:t>家次、</w:t>
      </w:r>
      <w:r>
        <w:rPr>
          <w:rFonts w:hint="eastAsia"/>
        </w:rPr>
        <w:t>60</w:t>
      </w:r>
      <w:r>
        <w:rPr>
          <w:rFonts w:hint="eastAsia"/>
        </w:rPr>
        <w:t>人次的行政监管措施，较</w:t>
      </w:r>
      <w:r>
        <w:rPr>
          <w:rFonts w:hint="eastAsia"/>
        </w:rPr>
        <w:t>2020</w:t>
      </w:r>
      <w:r>
        <w:rPr>
          <w:rFonts w:hint="eastAsia"/>
        </w:rPr>
        <w:t>年分别减少了</w:t>
      </w:r>
      <w:r>
        <w:rPr>
          <w:rFonts w:hint="eastAsia"/>
        </w:rPr>
        <w:t>9</w:t>
      </w:r>
      <w:r>
        <w:rPr>
          <w:rFonts w:hint="eastAsia"/>
        </w:rPr>
        <w:t>家次、</w:t>
      </w:r>
      <w:r>
        <w:rPr>
          <w:rFonts w:hint="eastAsia"/>
        </w:rPr>
        <w:t>5</w:t>
      </w:r>
      <w:r>
        <w:rPr>
          <w:rFonts w:hint="eastAsia"/>
        </w:rPr>
        <w:t>人次。处理处罚案件主要涉及以预先设定的价值作为评估结论，重要参数计算错误，评估报告存在虚假记载，内部治理不完善等问题。</w:t>
      </w:r>
    </w:p>
    <w:p w:rsidR="00405293" w:rsidRDefault="00405293" w:rsidP="00405293">
      <w:pPr>
        <w:ind w:firstLineChars="200" w:firstLine="420"/>
        <w:rPr>
          <w:rFonts w:hint="eastAsia"/>
        </w:rPr>
      </w:pPr>
      <w:r>
        <w:rPr>
          <w:rFonts w:hint="eastAsia"/>
        </w:rPr>
        <w:t>二、证券资产评估业务情况</w:t>
      </w:r>
    </w:p>
    <w:p w:rsidR="00405293" w:rsidRDefault="00405293" w:rsidP="00405293">
      <w:pPr>
        <w:ind w:firstLineChars="200" w:firstLine="420"/>
        <w:rPr>
          <w:rFonts w:hint="eastAsia"/>
        </w:rPr>
      </w:pPr>
      <w:r>
        <w:rPr>
          <w:rFonts w:hint="eastAsia"/>
        </w:rPr>
        <w:t>根据证券评估机构报备信息统计，</w:t>
      </w:r>
      <w:r>
        <w:rPr>
          <w:rFonts w:hint="eastAsia"/>
        </w:rPr>
        <w:t>2021</w:t>
      </w:r>
      <w:r>
        <w:rPr>
          <w:rFonts w:hint="eastAsia"/>
        </w:rPr>
        <w:t>年度</w:t>
      </w:r>
      <w:r>
        <w:rPr>
          <w:rFonts w:hint="eastAsia"/>
        </w:rPr>
        <w:t>186</w:t>
      </w:r>
      <w:r>
        <w:rPr>
          <w:rFonts w:hint="eastAsia"/>
        </w:rPr>
        <w:t>家证券评估机构出具了</w:t>
      </w:r>
      <w:r>
        <w:rPr>
          <w:rFonts w:hint="eastAsia"/>
        </w:rPr>
        <w:t>10,340</w:t>
      </w:r>
      <w:r>
        <w:rPr>
          <w:rFonts w:hint="eastAsia"/>
        </w:rPr>
        <w:t>份资产</w:t>
      </w:r>
      <w:r>
        <w:rPr>
          <w:rFonts w:hint="eastAsia"/>
        </w:rPr>
        <w:lastRenderedPageBreak/>
        <w:t>评估报告（含估值报告），主要情况如下：</w:t>
      </w:r>
    </w:p>
    <w:p w:rsidR="00405293" w:rsidRDefault="00405293" w:rsidP="00405293">
      <w:pPr>
        <w:ind w:firstLineChars="200" w:firstLine="420"/>
        <w:rPr>
          <w:rFonts w:hint="eastAsia"/>
        </w:rPr>
      </w:pPr>
      <w:r>
        <w:rPr>
          <w:rFonts w:hint="eastAsia"/>
        </w:rPr>
        <w:t>（一）</w:t>
      </w:r>
      <w:r>
        <w:rPr>
          <w:rFonts w:hint="eastAsia"/>
        </w:rPr>
        <w:t>A</w:t>
      </w:r>
      <w:r>
        <w:rPr>
          <w:rFonts w:hint="eastAsia"/>
        </w:rPr>
        <w:t>股上市公司仍为最主要的报告委托方</w:t>
      </w:r>
    </w:p>
    <w:p w:rsidR="00405293" w:rsidRDefault="00405293" w:rsidP="00405293">
      <w:pPr>
        <w:ind w:firstLineChars="200" w:firstLine="420"/>
        <w:rPr>
          <w:rFonts w:hint="eastAsia"/>
        </w:rPr>
      </w:pPr>
      <w:r>
        <w:rPr>
          <w:rFonts w:hint="eastAsia"/>
        </w:rPr>
        <w:t>按照委托方统计，</w:t>
      </w:r>
      <w:r>
        <w:rPr>
          <w:rFonts w:hint="eastAsia"/>
        </w:rPr>
        <w:t>2021</w:t>
      </w:r>
      <w:r>
        <w:rPr>
          <w:rFonts w:hint="eastAsia"/>
        </w:rPr>
        <w:t>年</w:t>
      </w:r>
      <w:r>
        <w:rPr>
          <w:rFonts w:hint="eastAsia"/>
        </w:rPr>
        <w:t>A</w:t>
      </w:r>
      <w:r>
        <w:rPr>
          <w:rFonts w:hint="eastAsia"/>
        </w:rPr>
        <w:t>股上市公司委托证券评估机构出具</w:t>
      </w:r>
      <w:r>
        <w:rPr>
          <w:rFonts w:hint="eastAsia"/>
        </w:rPr>
        <w:t>8,513</w:t>
      </w:r>
      <w:r>
        <w:rPr>
          <w:rFonts w:hint="eastAsia"/>
        </w:rPr>
        <w:t>份资产评估报告，占报告总数的</w:t>
      </w:r>
      <w:r>
        <w:rPr>
          <w:rFonts w:hint="eastAsia"/>
        </w:rPr>
        <w:t>82.3%</w:t>
      </w:r>
      <w:r>
        <w:rPr>
          <w:rFonts w:hint="eastAsia"/>
        </w:rPr>
        <w:t>，较上年略有下降；挂牌公司委托出具</w:t>
      </w:r>
      <w:r>
        <w:rPr>
          <w:rFonts w:hint="eastAsia"/>
        </w:rPr>
        <w:t>710</w:t>
      </w:r>
      <w:r>
        <w:rPr>
          <w:rFonts w:hint="eastAsia"/>
        </w:rPr>
        <w:t>份资产评估报告，占报告总数的</w:t>
      </w:r>
      <w:r>
        <w:rPr>
          <w:rFonts w:hint="eastAsia"/>
        </w:rPr>
        <w:t>6.9%</w:t>
      </w:r>
      <w:r>
        <w:rPr>
          <w:rFonts w:hint="eastAsia"/>
        </w:rPr>
        <w:t>，较上年略有下降；</w:t>
      </w:r>
      <w:r>
        <w:rPr>
          <w:rFonts w:hint="eastAsia"/>
        </w:rPr>
        <w:t>IPO</w:t>
      </w:r>
      <w:r>
        <w:rPr>
          <w:rFonts w:hint="eastAsia"/>
        </w:rPr>
        <w:t>公司委托出具</w:t>
      </w:r>
      <w:r>
        <w:rPr>
          <w:rFonts w:hint="eastAsia"/>
        </w:rPr>
        <w:t>708</w:t>
      </w:r>
      <w:r>
        <w:rPr>
          <w:rFonts w:hint="eastAsia"/>
        </w:rPr>
        <w:t>份资产评估报告，占报告总数的</w:t>
      </w:r>
      <w:r>
        <w:rPr>
          <w:rFonts w:hint="eastAsia"/>
        </w:rPr>
        <w:t>6.8%</w:t>
      </w:r>
      <w:r>
        <w:rPr>
          <w:rFonts w:hint="eastAsia"/>
        </w:rPr>
        <w:t>，较上年略有增加。</w:t>
      </w:r>
      <w:r>
        <w:rPr>
          <w:rFonts w:hint="eastAsia"/>
        </w:rPr>
        <w:t>A</w:t>
      </w:r>
      <w:r>
        <w:rPr>
          <w:rFonts w:hint="eastAsia"/>
        </w:rPr>
        <w:t>股上市公司仍为最主要的评估报告委托方。</w:t>
      </w:r>
    </w:p>
    <w:p w:rsidR="00405293" w:rsidRDefault="00405293" w:rsidP="00405293">
      <w:pPr>
        <w:ind w:firstLineChars="200" w:firstLine="420"/>
        <w:rPr>
          <w:rFonts w:hint="eastAsia"/>
        </w:rPr>
      </w:pPr>
      <w:r>
        <w:rPr>
          <w:rFonts w:hint="eastAsia"/>
          <w:noProof/>
        </w:rPr>
        <w:drawing>
          <wp:inline distT="0" distB="0" distL="0" distR="0">
            <wp:extent cx="5274310" cy="1710055"/>
            <wp:effectExtent l="0" t="0" r="254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710055"/>
                    </a:xfrm>
                    <a:prstGeom prst="rect">
                      <a:avLst/>
                    </a:prstGeom>
                  </pic:spPr>
                </pic:pic>
              </a:graphicData>
            </a:graphic>
          </wp:inline>
        </w:drawing>
      </w:r>
      <w:r>
        <w:rPr>
          <w:rFonts w:hint="eastAsia"/>
        </w:rPr>
        <w:t>（二）软件信息服务行业评估需求最大，重资产行业公司评估需求明显增多</w:t>
      </w:r>
    </w:p>
    <w:p w:rsidR="00405293" w:rsidRDefault="00405293" w:rsidP="00405293">
      <w:pPr>
        <w:ind w:firstLineChars="200" w:firstLine="420"/>
        <w:rPr>
          <w:rFonts w:hint="eastAsia"/>
        </w:rPr>
      </w:pPr>
      <w:r>
        <w:rPr>
          <w:rFonts w:hint="eastAsia"/>
        </w:rPr>
        <w:t>评估对象主要分布在软件和信息技术服务业，电力、热力生产和供应业，房地产业，计算机、通信和其他电子设备制造业，医药制造业等。软件和信息技术服务业仍位居第一，资产评估报告数量占比</w:t>
      </w:r>
      <w:r>
        <w:rPr>
          <w:rFonts w:hint="eastAsia"/>
        </w:rPr>
        <w:t>9.3%</w:t>
      </w:r>
      <w:r>
        <w:rPr>
          <w:rFonts w:hint="eastAsia"/>
        </w:rPr>
        <w:t>，评估收费占比</w:t>
      </w:r>
      <w:r>
        <w:rPr>
          <w:rFonts w:hint="eastAsia"/>
        </w:rPr>
        <w:t>8.8%</w:t>
      </w:r>
      <w:r>
        <w:rPr>
          <w:rFonts w:hint="eastAsia"/>
        </w:rPr>
        <w:t>，与上年基本持平。评估报告占比排名前</w:t>
      </w:r>
      <w:r>
        <w:rPr>
          <w:rFonts w:hint="eastAsia"/>
        </w:rPr>
        <w:t>10</w:t>
      </w:r>
      <w:r>
        <w:rPr>
          <w:rFonts w:hint="eastAsia"/>
        </w:rPr>
        <w:t>的行业中，</w:t>
      </w:r>
      <w:r>
        <w:rPr>
          <w:rFonts w:hint="eastAsia"/>
        </w:rPr>
        <w:t>6</w:t>
      </w:r>
      <w:r>
        <w:rPr>
          <w:rFonts w:hint="eastAsia"/>
        </w:rPr>
        <w:t>个属于传统重资产行业，如电力热力生产和供应业、房地产业、医药制造业、化学原料及化学制品制造业和专用设备制造业，合计报告数量</w:t>
      </w:r>
      <w:r>
        <w:rPr>
          <w:rFonts w:hint="eastAsia"/>
        </w:rPr>
        <w:t>3,003</w:t>
      </w:r>
      <w:r>
        <w:rPr>
          <w:rFonts w:hint="eastAsia"/>
        </w:rPr>
        <w:t>份，同比增长</w:t>
      </w:r>
      <w:r>
        <w:rPr>
          <w:rFonts w:hint="eastAsia"/>
        </w:rPr>
        <w:t>33.7%</w:t>
      </w:r>
      <w:r>
        <w:rPr>
          <w:rFonts w:hint="eastAsia"/>
        </w:rPr>
        <w:t>，重资产行业公司评估需求明显增多。</w:t>
      </w:r>
    </w:p>
    <w:p w:rsidR="00405293" w:rsidRDefault="00405293" w:rsidP="00405293">
      <w:pPr>
        <w:ind w:firstLineChars="200" w:firstLine="420"/>
        <w:rPr>
          <w:rFonts w:hint="eastAsia"/>
        </w:rPr>
      </w:pPr>
      <w:r>
        <w:rPr>
          <w:rFonts w:hint="eastAsia"/>
        </w:rPr>
        <w:t>（三）以财报为目的的评估占比略有下降，评估服务收费下降明显</w:t>
      </w:r>
    </w:p>
    <w:p w:rsidR="00405293" w:rsidRDefault="00405293" w:rsidP="00405293">
      <w:pPr>
        <w:ind w:firstLineChars="200" w:firstLine="420"/>
        <w:rPr>
          <w:rFonts w:hint="eastAsia"/>
        </w:rPr>
      </w:pPr>
      <w:r>
        <w:rPr>
          <w:rFonts w:hint="eastAsia"/>
        </w:rPr>
        <w:t>以财报为目的的评估主要包括商誉减值测试评估、公允价值计量评估等业务，本年以财报为目的的资产评估报告数量占比</w:t>
      </w:r>
      <w:r>
        <w:rPr>
          <w:rFonts w:hint="eastAsia"/>
        </w:rPr>
        <w:t>47.3%</w:t>
      </w:r>
      <w:r>
        <w:rPr>
          <w:rFonts w:hint="eastAsia"/>
        </w:rPr>
        <w:t>，收费金额占比</w:t>
      </w:r>
      <w:r>
        <w:rPr>
          <w:rFonts w:hint="eastAsia"/>
        </w:rPr>
        <w:t>45.2%</w:t>
      </w:r>
      <w:r>
        <w:rPr>
          <w:rFonts w:hint="eastAsia"/>
        </w:rPr>
        <w:t>，较上年均略有下降。</w:t>
      </w:r>
      <w:r>
        <w:rPr>
          <w:rFonts w:hint="eastAsia"/>
        </w:rPr>
        <w:t>2021</w:t>
      </w:r>
      <w:r>
        <w:rPr>
          <w:rFonts w:hint="eastAsia"/>
        </w:rPr>
        <w:t>年度资产评估报告收费均值为</w:t>
      </w:r>
      <w:r>
        <w:rPr>
          <w:rFonts w:hint="eastAsia"/>
        </w:rPr>
        <w:t>11.2</w:t>
      </w:r>
      <w:r>
        <w:rPr>
          <w:rFonts w:hint="eastAsia"/>
        </w:rPr>
        <w:t>万元，低于上年度的</w:t>
      </w:r>
      <w:r>
        <w:rPr>
          <w:rFonts w:hint="eastAsia"/>
        </w:rPr>
        <w:t>13.0</w:t>
      </w:r>
      <w:r>
        <w:rPr>
          <w:rFonts w:hint="eastAsia"/>
        </w:rPr>
        <w:t>万元，同比下降</w:t>
      </w:r>
      <w:r>
        <w:rPr>
          <w:rFonts w:hint="eastAsia"/>
        </w:rPr>
        <w:t>14.3%</w:t>
      </w:r>
      <w:r>
        <w:rPr>
          <w:rFonts w:hint="eastAsia"/>
        </w:rPr>
        <w:t>，降幅较为明显。</w:t>
      </w:r>
    </w:p>
    <w:p w:rsidR="00405293" w:rsidRDefault="00405293" w:rsidP="00405293">
      <w:pPr>
        <w:ind w:firstLineChars="200" w:firstLine="420"/>
        <w:rPr>
          <w:rFonts w:hint="eastAsia"/>
        </w:rPr>
      </w:pPr>
      <w:r>
        <w:rPr>
          <w:rFonts w:hint="eastAsia"/>
          <w:noProof/>
        </w:rPr>
        <w:drawing>
          <wp:inline distT="0" distB="0" distL="0" distR="0">
            <wp:extent cx="5274310" cy="22009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8">
                      <a:extLst>
                        <a:ext uri="{28A0092B-C50C-407E-A947-70E740481C1C}">
                          <a14:useLocalDpi xmlns:a14="http://schemas.microsoft.com/office/drawing/2010/main" val="0"/>
                        </a:ext>
                      </a:extLst>
                    </a:blip>
                    <a:stretch>
                      <a:fillRect/>
                    </a:stretch>
                  </pic:blipFill>
                  <pic:spPr>
                    <a:xfrm>
                      <a:off x="0" y="0"/>
                      <a:ext cx="5274310" cy="2200910"/>
                    </a:xfrm>
                    <a:prstGeom prst="rect">
                      <a:avLst/>
                    </a:prstGeom>
                  </pic:spPr>
                </pic:pic>
              </a:graphicData>
            </a:graphic>
          </wp:inline>
        </w:drawing>
      </w:r>
      <w:r>
        <w:rPr>
          <w:rFonts w:hint="eastAsia"/>
        </w:rPr>
        <w:t>（四）境外资产评估报告数量和收费下降明显</w:t>
      </w:r>
    </w:p>
    <w:p w:rsidR="00405293" w:rsidRDefault="00405293" w:rsidP="00405293">
      <w:pPr>
        <w:ind w:firstLineChars="200" w:firstLine="420"/>
        <w:rPr>
          <w:rFonts w:hint="eastAsia"/>
        </w:rPr>
      </w:pPr>
      <w:r>
        <w:rPr>
          <w:rFonts w:hint="eastAsia"/>
        </w:rPr>
        <w:t>境外资产评估主要为以财报为目的的评估，以及资产收购和转让评估，</w:t>
      </w:r>
      <w:r>
        <w:rPr>
          <w:rFonts w:hint="eastAsia"/>
        </w:rPr>
        <w:t>2021</w:t>
      </w:r>
      <w:r>
        <w:rPr>
          <w:rFonts w:hint="eastAsia"/>
        </w:rPr>
        <w:t>年境外资产评报报告数量为</w:t>
      </w:r>
      <w:r>
        <w:rPr>
          <w:rFonts w:hint="eastAsia"/>
        </w:rPr>
        <w:t>357</w:t>
      </w:r>
      <w:r>
        <w:rPr>
          <w:rFonts w:hint="eastAsia"/>
        </w:rPr>
        <w:t>份，占评估报告数量的</w:t>
      </w:r>
      <w:r>
        <w:rPr>
          <w:rFonts w:hint="eastAsia"/>
        </w:rPr>
        <w:t>3.5%</w:t>
      </w:r>
      <w:r>
        <w:rPr>
          <w:rFonts w:hint="eastAsia"/>
        </w:rPr>
        <w:t>，与上年基本持平；境外资产评估收费为</w:t>
      </w:r>
      <w:r>
        <w:rPr>
          <w:rFonts w:hint="eastAsia"/>
        </w:rPr>
        <w:t>6,307.2</w:t>
      </w:r>
      <w:r>
        <w:rPr>
          <w:rFonts w:hint="eastAsia"/>
        </w:rPr>
        <w:t>万元，占证券资产评估收费的</w:t>
      </w:r>
      <w:r>
        <w:rPr>
          <w:rFonts w:hint="eastAsia"/>
        </w:rPr>
        <w:t>5.5%</w:t>
      </w:r>
      <w:r>
        <w:rPr>
          <w:rFonts w:hint="eastAsia"/>
        </w:rPr>
        <w:t>，同比下降</w:t>
      </w:r>
      <w:r>
        <w:rPr>
          <w:rFonts w:hint="eastAsia"/>
        </w:rPr>
        <w:t>28.5%</w:t>
      </w:r>
      <w:r>
        <w:rPr>
          <w:rFonts w:hint="eastAsia"/>
        </w:rPr>
        <w:t>。单个报告平均收费为</w:t>
      </w:r>
      <w:r>
        <w:rPr>
          <w:rFonts w:hint="eastAsia"/>
        </w:rPr>
        <w:t>17.7</w:t>
      </w:r>
      <w:r>
        <w:rPr>
          <w:rFonts w:hint="eastAsia"/>
        </w:rPr>
        <w:t>万元，较上年下降</w:t>
      </w:r>
      <w:r>
        <w:rPr>
          <w:rFonts w:hint="eastAsia"/>
        </w:rPr>
        <w:t>8.1</w:t>
      </w:r>
      <w:r>
        <w:rPr>
          <w:rFonts w:hint="eastAsia"/>
        </w:rPr>
        <w:t>万元，降幅达</w:t>
      </w:r>
      <w:r>
        <w:rPr>
          <w:rFonts w:hint="eastAsia"/>
        </w:rPr>
        <w:t>31.3%</w:t>
      </w:r>
      <w:r>
        <w:rPr>
          <w:rFonts w:hint="eastAsia"/>
        </w:rPr>
        <w:t>；与境内项目相比，涉境外资产的评估收费为境</w:t>
      </w:r>
      <w:r>
        <w:rPr>
          <w:rFonts w:hint="eastAsia"/>
        </w:rPr>
        <w:lastRenderedPageBreak/>
        <w:t>内资产评估的</w:t>
      </w:r>
      <w:r>
        <w:rPr>
          <w:rFonts w:hint="eastAsia"/>
        </w:rPr>
        <w:t>1.6</w:t>
      </w:r>
      <w:r>
        <w:rPr>
          <w:rFonts w:hint="eastAsia"/>
        </w:rPr>
        <w:t>倍，低于上年的</w:t>
      </w:r>
      <w:r>
        <w:rPr>
          <w:rFonts w:hint="eastAsia"/>
        </w:rPr>
        <w:t>2.1</w:t>
      </w:r>
      <w:r>
        <w:rPr>
          <w:rFonts w:hint="eastAsia"/>
        </w:rPr>
        <w:t>倍，收费下降明显。</w:t>
      </w:r>
    </w:p>
    <w:p w:rsidR="00405293" w:rsidRDefault="00405293" w:rsidP="00405293">
      <w:pPr>
        <w:ind w:firstLineChars="200" w:firstLine="420"/>
        <w:rPr>
          <w:rFonts w:hint="eastAsia"/>
        </w:rPr>
      </w:pPr>
      <w:r>
        <w:rPr>
          <w:rFonts w:hint="eastAsia"/>
        </w:rPr>
        <w:t>三、并购重组委审核项目涉及资产评估情况</w:t>
      </w:r>
    </w:p>
    <w:p w:rsidR="00405293" w:rsidRDefault="00405293" w:rsidP="00405293">
      <w:pPr>
        <w:ind w:firstLineChars="200" w:firstLine="420"/>
        <w:rPr>
          <w:rFonts w:hint="eastAsia"/>
        </w:rPr>
      </w:pPr>
      <w:r>
        <w:rPr>
          <w:rFonts w:hint="eastAsia"/>
        </w:rPr>
        <w:t>2021</w:t>
      </w:r>
      <w:r>
        <w:rPr>
          <w:rFonts w:hint="eastAsia"/>
        </w:rPr>
        <w:t>年度，证监会并购重组委共召开了</w:t>
      </w:r>
      <w:r>
        <w:rPr>
          <w:rFonts w:hint="eastAsia"/>
        </w:rPr>
        <w:t>34</w:t>
      </w:r>
      <w:r>
        <w:rPr>
          <w:rFonts w:hint="eastAsia"/>
        </w:rPr>
        <w:t>次重组委会议，审核了</w:t>
      </w:r>
      <w:r>
        <w:rPr>
          <w:rFonts w:hint="eastAsia"/>
        </w:rPr>
        <w:t>41</w:t>
      </w:r>
      <w:r>
        <w:rPr>
          <w:rFonts w:hint="eastAsia"/>
        </w:rPr>
        <w:t>宗并购重组项目（有</w:t>
      </w:r>
      <w:r>
        <w:rPr>
          <w:rFonts w:hint="eastAsia"/>
        </w:rPr>
        <w:t>1</w:t>
      </w:r>
      <w:r>
        <w:rPr>
          <w:rFonts w:hint="eastAsia"/>
        </w:rPr>
        <w:t>宗项目上会两次）。</w:t>
      </w:r>
      <w:r>
        <w:rPr>
          <w:rFonts w:hint="eastAsia"/>
        </w:rPr>
        <w:t>42</w:t>
      </w:r>
      <w:r>
        <w:rPr>
          <w:rFonts w:hint="eastAsia"/>
        </w:rPr>
        <w:t>家上市公司并购重组项目中，</w:t>
      </w:r>
      <w:r>
        <w:rPr>
          <w:rFonts w:hint="eastAsia"/>
        </w:rPr>
        <w:t>36</w:t>
      </w:r>
      <w:r>
        <w:rPr>
          <w:rFonts w:hint="eastAsia"/>
        </w:rPr>
        <w:t>家上市公司并购重组项目涉及发行股份购买资产，</w:t>
      </w:r>
      <w:r>
        <w:rPr>
          <w:rFonts w:hint="eastAsia"/>
        </w:rPr>
        <w:t>6</w:t>
      </w:r>
      <w:r>
        <w:rPr>
          <w:rFonts w:hint="eastAsia"/>
        </w:rPr>
        <w:t>家涉及吸收合并；</w:t>
      </w:r>
      <w:r>
        <w:rPr>
          <w:rFonts w:hint="eastAsia"/>
        </w:rPr>
        <w:t>36</w:t>
      </w:r>
      <w:r>
        <w:rPr>
          <w:rFonts w:hint="eastAsia"/>
        </w:rPr>
        <w:t>家公司通过审核，占比为</w:t>
      </w:r>
      <w:r>
        <w:rPr>
          <w:rFonts w:hint="eastAsia"/>
        </w:rPr>
        <w:t>85.7%</w:t>
      </w:r>
      <w:r>
        <w:rPr>
          <w:rFonts w:hint="eastAsia"/>
        </w:rPr>
        <w:t>。</w:t>
      </w:r>
    </w:p>
    <w:p w:rsidR="00405293" w:rsidRDefault="00405293" w:rsidP="00405293">
      <w:pPr>
        <w:ind w:firstLineChars="200" w:firstLine="420"/>
        <w:rPr>
          <w:rFonts w:hint="eastAsia"/>
        </w:rPr>
      </w:pPr>
      <w:r>
        <w:rPr>
          <w:rFonts w:hint="eastAsia"/>
        </w:rPr>
        <w:t>（一）审核项目数量下降幅度较大，通过率相对稳定</w:t>
      </w:r>
    </w:p>
    <w:p w:rsidR="00405293" w:rsidRDefault="00405293" w:rsidP="00405293">
      <w:pPr>
        <w:ind w:firstLineChars="200" w:firstLine="420"/>
        <w:rPr>
          <w:rFonts w:hint="eastAsia"/>
        </w:rPr>
      </w:pPr>
      <w:r>
        <w:rPr>
          <w:rFonts w:hint="eastAsia"/>
        </w:rPr>
        <w:t>2019</w:t>
      </w:r>
      <w:r>
        <w:rPr>
          <w:rFonts w:hint="eastAsia"/>
        </w:rPr>
        <w:t>至</w:t>
      </w:r>
      <w:r>
        <w:rPr>
          <w:rFonts w:hint="eastAsia"/>
        </w:rPr>
        <w:t>2021</w:t>
      </w:r>
      <w:r>
        <w:rPr>
          <w:rFonts w:hint="eastAsia"/>
        </w:rPr>
        <w:t>年并购重组委审核家次分别为</w:t>
      </w:r>
      <w:r>
        <w:rPr>
          <w:rFonts w:hint="eastAsia"/>
        </w:rPr>
        <w:t>124</w:t>
      </w:r>
      <w:r>
        <w:rPr>
          <w:rFonts w:hint="eastAsia"/>
        </w:rPr>
        <w:t>家次、</w:t>
      </w:r>
      <w:r>
        <w:rPr>
          <w:rFonts w:hint="eastAsia"/>
        </w:rPr>
        <w:t>79</w:t>
      </w:r>
      <w:r>
        <w:rPr>
          <w:rFonts w:hint="eastAsia"/>
        </w:rPr>
        <w:t>家次、</w:t>
      </w:r>
      <w:r>
        <w:rPr>
          <w:rFonts w:hint="eastAsia"/>
        </w:rPr>
        <w:t>42</w:t>
      </w:r>
      <w:r>
        <w:rPr>
          <w:rFonts w:hint="eastAsia"/>
        </w:rPr>
        <w:t>家次，审核项目数量分别为</w:t>
      </w:r>
      <w:r>
        <w:rPr>
          <w:rFonts w:hint="eastAsia"/>
        </w:rPr>
        <w:t>118</w:t>
      </w:r>
      <w:r>
        <w:rPr>
          <w:rFonts w:hint="eastAsia"/>
        </w:rPr>
        <w:t>宗、</w:t>
      </w:r>
      <w:r>
        <w:rPr>
          <w:rFonts w:hint="eastAsia"/>
        </w:rPr>
        <w:t>77</w:t>
      </w:r>
      <w:r>
        <w:rPr>
          <w:rFonts w:hint="eastAsia"/>
        </w:rPr>
        <w:t>宗、</w:t>
      </w:r>
      <w:r>
        <w:rPr>
          <w:rFonts w:hint="eastAsia"/>
        </w:rPr>
        <w:t>41</w:t>
      </w:r>
      <w:r>
        <w:rPr>
          <w:rFonts w:hint="eastAsia"/>
        </w:rPr>
        <w:t>宗，呈逐年下降趋势，</w:t>
      </w:r>
      <w:r>
        <w:rPr>
          <w:rFonts w:hint="eastAsia"/>
        </w:rPr>
        <w:t>2019</w:t>
      </w:r>
      <w:r>
        <w:rPr>
          <w:rFonts w:hint="eastAsia"/>
        </w:rPr>
        <w:t>年、</w:t>
      </w:r>
      <w:r>
        <w:rPr>
          <w:rFonts w:hint="eastAsia"/>
        </w:rPr>
        <w:t>2020</w:t>
      </w:r>
      <w:r>
        <w:rPr>
          <w:rFonts w:hint="eastAsia"/>
        </w:rPr>
        <w:t>年、</w:t>
      </w:r>
      <w:r>
        <w:rPr>
          <w:rFonts w:hint="eastAsia"/>
        </w:rPr>
        <w:t>2021</w:t>
      </w:r>
      <w:r>
        <w:rPr>
          <w:rFonts w:hint="eastAsia"/>
        </w:rPr>
        <w:t>年并购重组委审核项目通过率分别为</w:t>
      </w:r>
      <w:r>
        <w:rPr>
          <w:rFonts w:hint="eastAsia"/>
        </w:rPr>
        <w:t>83.1%</w:t>
      </w:r>
      <w:r>
        <w:rPr>
          <w:rFonts w:hint="eastAsia"/>
        </w:rPr>
        <w:t>、</w:t>
      </w:r>
      <w:r>
        <w:rPr>
          <w:rFonts w:hint="eastAsia"/>
        </w:rPr>
        <w:t>81.0%</w:t>
      </w:r>
      <w:r>
        <w:rPr>
          <w:rFonts w:hint="eastAsia"/>
        </w:rPr>
        <w:t>、</w:t>
      </w:r>
      <w:r>
        <w:rPr>
          <w:rFonts w:hint="eastAsia"/>
        </w:rPr>
        <w:t>85.7%</w:t>
      </w:r>
      <w:r>
        <w:rPr>
          <w:rFonts w:hint="eastAsia"/>
        </w:rPr>
        <w:t>，通过率基本维持在</w:t>
      </w:r>
      <w:r>
        <w:rPr>
          <w:rFonts w:hint="eastAsia"/>
        </w:rPr>
        <w:t>80%</w:t>
      </w:r>
      <w:r>
        <w:rPr>
          <w:rFonts w:hint="eastAsia"/>
        </w:rPr>
        <w:t>以上，较为稳定。</w:t>
      </w:r>
    </w:p>
    <w:p w:rsidR="00405293" w:rsidRDefault="00405293" w:rsidP="00405293">
      <w:pPr>
        <w:ind w:firstLineChars="200" w:firstLine="420"/>
        <w:rPr>
          <w:rFonts w:hint="eastAsia"/>
        </w:rPr>
      </w:pPr>
      <w:r>
        <w:rPr>
          <w:rFonts w:hint="eastAsia"/>
        </w:rPr>
        <w:t>（二）电力、机动车零配件与设备、建材等重资产行业成为并购热点</w:t>
      </w:r>
    </w:p>
    <w:p w:rsidR="00405293" w:rsidRDefault="00405293" w:rsidP="00405293">
      <w:pPr>
        <w:ind w:firstLineChars="200" w:firstLine="420"/>
        <w:rPr>
          <w:rFonts w:hint="eastAsia"/>
        </w:rPr>
      </w:pPr>
      <w:r>
        <w:rPr>
          <w:rFonts w:hint="eastAsia"/>
        </w:rPr>
        <w:t>从标的公司看，机动车零配件与设备行业公司最多，为</w:t>
      </w:r>
      <w:r>
        <w:rPr>
          <w:rFonts w:hint="eastAsia"/>
        </w:rPr>
        <w:t>12</w:t>
      </w:r>
      <w:r>
        <w:rPr>
          <w:rFonts w:hint="eastAsia"/>
        </w:rPr>
        <w:t>家，占比为</w:t>
      </w:r>
      <w:r>
        <w:rPr>
          <w:rFonts w:hint="eastAsia"/>
        </w:rPr>
        <w:t>14.5%</w:t>
      </w:r>
      <w:r>
        <w:rPr>
          <w:rFonts w:hint="eastAsia"/>
        </w:rPr>
        <w:t>，新能源发电行业公司位列第二，为</w:t>
      </w:r>
      <w:r>
        <w:rPr>
          <w:rFonts w:hint="eastAsia"/>
        </w:rPr>
        <w:t>9</w:t>
      </w:r>
      <w:r>
        <w:rPr>
          <w:rFonts w:hint="eastAsia"/>
        </w:rPr>
        <w:t>家，占比为</w:t>
      </w:r>
      <w:r>
        <w:rPr>
          <w:rFonts w:hint="eastAsia"/>
        </w:rPr>
        <w:t>10.8%</w:t>
      </w:r>
      <w:r>
        <w:rPr>
          <w:rFonts w:hint="eastAsia"/>
        </w:rPr>
        <w:t>，电力和建材行业公司并列第三，各为</w:t>
      </w:r>
      <w:r>
        <w:rPr>
          <w:rFonts w:hint="eastAsia"/>
        </w:rPr>
        <w:t>5</w:t>
      </w:r>
      <w:r>
        <w:rPr>
          <w:rFonts w:hint="eastAsia"/>
        </w:rPr>
        <w:t>家，占比各为</w:t>
      </w:r>
      <w:r>
        <w:rPr>
          <w:rFonts w:hint="eastAsia"/>
        </w:rPr>
        <w:t>6.0%</w:t>
      </w:r>
      <w:r>
        <w:rPr>
          <w:rFonts w:hint="eastAsia"/>
        </w:rPr>
        <w:t>。从市场融资交易金额看，建筑行业交易金额最高，占比为</w:t>
      </w:r>
      <w:r>
        <w:rPr>
          <w:rFonts w:hint="eastAsia"/>
        </w:rPr>
        <w:t>39.9%</w:t>
      </w:r>
      <w:r>
        <w:rPr>
          <w:rFonts w:hint="eastAsia"/>
        </w:rPr>
        <w:t>，电力行业位列第二，占比为</w:t>
      </w:r>
      <w:r>
        <w:rPr>
          <w:rFonts w:hint="eastAsia"/>
        </w:rPr>
        <w:t>11.1%</w:t>
      </w:r>
      <w:r>
        <w:rPr>
          <w:rFonts w:hint="eastAsia"/>
        </w:rPr>
        <w:t>，基础化工行业位列第三，占比为</w:t>
      </w:r>
      <w:r>
        <w:rPr>
          <w:rFonts w:hint="eastAsia"/>
        </w:rPr>
        <w:t>5.8%</w:t>
      </w:r>
      <w:r>
        <w:rPr>
          <w:rFonts w:hint="eastAsia"/>
        </w:rPr>
        <w:t>。电力、机动车零配件与设备、建材等重资产行业成为并购热点。</w:t>
      </w:r>
    </w:p>
    <w:p w:rsidR="00405293" w:rsidRDefault="00405293" w:rsidP="00405293">
      <w:pPr>
        <w:ind w:firstLineChars="200" w:firstLine="420"/>
        <w:rPr>
          <w:rFonts w:hint="eastAsia"/>
        </w:rPr>
      </w:pPr>
      <w:r>
        <w:rPr>
          <w:rFonts w:hint="eastAsia"/>
        </w:rPr>
        <w:t>（三）并购标的主要采用两种评估方法评估，市场法与其他方法的组合占比有所提高</w:t>
      </w:r>
    </w:p>
    <w:p w:rsidR="00405293" w:rsidRDefault="00405293" w:rsidP="00405293">
      <w:pPr>
        <w:ind w:firstLineChars="200" w:firstLine="420"/>
      </w:pPr>
      <w:r>
        <w:rPr>
          <w:rFonts w:hint="eastAsia"/>
        </w:rPr>
        <w:t>2021</w:t>
      </w:r>
      <w:r>
        <w:rPr>
          <w:rFonts w:hint="eastAsia"/>
        </w:rPr>
        <w:t>年并购重组委审核项目中，</w:t>
      </w:r>
      <w:r>
        <w:rPr>
          <w:rFonts w:hint="eastAsia"/>
        </w:rPr>
        <w:t>109</w:t>
      </w:r>
      <w:r>
        <w:rPr>
          <w:rFonts w:hint="eastAsia"/>
        </w:rPr>
        <w:t>家被评估单位采取两种以上的评估方法进行评估，占比为</w:t>
      </w:r>
      <w:r>
        <w:rPr>
          <w:rFonts w:hint="eastAsia"/>
        </w:rPr>
        <w:t>77.9%</w:t>
      </w:r>
      <w:r>
        <w:rPr>
          <w:rFonts w:hint="eastAsia"/>
        </w:rPr>
        <w:t>，低于上年</w:t>
      </w:r>
      <w:r>
        <w:rPr>
          <w:rFonts w:hint="eastAsia"/>
        </w:rPr>
        <w:t>88.7%</w:t>
      </w:r>
      <w:r>
        <w:rPr>
          <w:rFonts w:hint="eastAsia"/>
        </w:rPr>
        <w:t>。从评估方法组合看，选取资产基础法和收益法的占比为</w:t>
      </w:r>
      <w:r>
        <w:rPr>
          <w:rFonts w:hint="eastAsia"/>
        </w:rPr>
        <w:t>65.0%</w:t>
      </w:r>
      <w:r>
        <w:rPr>
          <w:rFonts w:hint="eastAsia"/>
        </w:rPr>
        <w:t>，相比上年有所下降；选取收益法和市场法的占比为</w:t>
      </w:r>
      <w:r>
        <w:rPr>
          <w:rFonts w:hint="eastAsia"/>
        </w:rPr>
        <w:t>8.6%</w:t>
      </w:r>
      <w:r>
        <w:rPr>
          <w:rFonts w:hint="eastAsia"/>
        </w:rPr>
        <w:t>，选用资产基础法和市场法的占比为</w:t>
      </w:r>
      <w:r>
        <w:rPr>
          <w:rFonts w:hint="eastAsia"/>
        </w:rPr>
        <w:t>4.3%</w:t>
      </w:r>
      <w:r>
        <w:rPr>
          <w:rFonts w:hint="eastAsia"/>
        </w:rPr>
        <w:t>，资产基础法和收益法组合仍然是并购重组最常用的方法，选取市场法与其他方法的组合占比有所提高。</w:t>
      </w:r>
    </w:p>
    <w:p w:rsidR="00405293" w:rsidRDefault="00405293" w:rsidP="00405293">
      <w:pPr>
        <w:ind w:firstLineChars="200" w:firstLine="420"/>
        <w:rPr>
          <w:rFonts w:hint="eastAsia"/>
        </w:rPr>
      </w:pPr>
      <w:r>
        <w:rPr>
          <w:rFonts w:hint="eastAsia"/>
          <w:noProof/>
        </w:rPr>
        <w:drawing>
          <wp:inline distT="0" distB="0" distL="0" distR="0">
            <wp:extent cx="5274310" cy="23126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png"/>
                    <pic:cNvPicPr/>
                  </pic:nvPicPr>
                  <pic:blipFill>
                    <a:blip r:embed="rId9">
                      <a:extLst>
                        <a:ext uri="{28A0092B-C50C-407E-A947-70E740481C1C}">
                          <a14:useLocalDpi xmlns:a14="http://schemas.microsoft.com/office/drawing/2010/main" val="0"/>
                        </a:ext>
                      </a:extLst>
                    </a:blip>
                    <a:stretch>
                      <a:fillRect/>
                    </a:stretch>
                  </pic:blipFill>
                  <pic:spPr>
                    <a:xfrm>
                      <a:off x="0" y="0"/>
                      <a:ext cx="5274310" cy="2312670"/>
                    </a:xfrm>
                    <a:prstGeom prst="rect">
                      <a:avLst/>
                    </a:prstGeom>
                  </pic:spPr>
                </pic:pic>
              </a:graphicData>
            </a:graphic>
          </wp:inline>
        </w:drawing>
      </w:r>
    </w:p>
    <w:p w:rsidR="00405293" w:rsidRDefault="00405293" w:rsidP="00405293">
      <w:pPr>
        <w:ind w:firstLineChars="200" w:firstLine="420"/>
        <w:rPr>
          <w:rFonts w:hint="eastAsia"/>
        </w:rPr>
      </w:pPr>
      <w:r>
        <w:rPr>
          <w:rFonts w:hint="eastAsia"/>
        </w:rPr>
        <w:t>（四）评估结论以收益法评估结果为主，市场法结论占比有所提高</w:t>
      </w:r>
    </w:p>
    <w:p w:rsidR="00405293" w:rsidRDefault="00405293" w:rsidP="00405293">
      <w:pPr>
        <w:ind w:firstLineChars="200" w:firstLine="420"/>
        <w:rPr>
          <w:rFonts w:hint="eastAsia"/>
        </w:rPr>
      </w:pPr>
      <w:r>
        <w:rPr>
          <w:rFonts w:hint="eastAsia"/>
        </w:rPr>
        <w:t>2021</w:t>
      </w:r>
      <w:r>
        <w:rPr>
          <w:rFonts w:hint="eastAsia"/>
        </w:rPr>
        <w:t>年并购重组委审核项目中，</w:t>
      </w:r>
      <w:r>
        <w:rPr>
          <w:rFonts w:hint="eastAsia"/>
        </w:rPr>
        <w:t>90</w:t>
      </w:r>
      <w:r>
        <w:rPr>
          <w:rFonts w:hint="eastAsia"/>
        </w:rPr>
        <w:t>家被评估单位采用收益法结果作为评估结论，占比为</w:t>
      </w:r>
      <w:r>
        <w:rPr>
          <w:rFonts w:hint="eastAsia"/>
        </w:rPr>
        <w:t>64.3%</w:t>
      </w:r>
      <w:r>
        <w:rPr>
          <w:rFonts w:hint="eastAsia"/>
        </w:rPr>
        <w:t>，高于上年的</w:t>
      </w:r>
      <w:r>
        <w:rPr>
          <w:rFonts w:hint="eastAsia"/>
        </w:rPr>
        <w:t>50.3%</w:t>
      </w:r>
      <w:r>
        <w:rPr>
          <w:rFonts w:hint="eastAsia"/>
        </w:rPr>
        <w:t>，收益法依然为并购重组项目中确定评估结论的最主要方法。</w:t>
      </w:r>
      <w:r>
        <w:rPr>
          <w:rFonts w:hint="eastAsia"/>
        </w:rPr>
        <w:t>13</w:t>
      </w:r>
      <w:r>
        <w:rPr>
          <w:rFonts w:hint="eastAsia"/>
        </w:rPr>
        <w:t>家被评估单位采用市场法结果作为评估结论，占比为</w:t>
      </w:r>
      <w:r>
        <w:rPr>
          <w:rFonts w:hint="eastAsia"/>
        </w:rPr>
        <w:t>9.3%</w:t>
      </w:r>
      <w:r>
        <w:rPr>
          <w:rFonts w:hint="eastAsia"/>
        </w:rPr>
        <w:t>，相比上年</w:t>
      </w:r>
      <w:r>
        <w:rPr>
          <w:rFonts w:hint="eastAsia"/>
        </w:rPr>
        <w:t>2.5%</w:t>
      </w:r>
      <w:r>
        <w:rPr>
          <w:rFonts w:hint="eastAsia"/>
        </w:rPr>
        <w:t>提高明显，这说明随着资本市场信息披露的规范性和透明度提高，市场可获取的估值数据和案例增加，为采用市场法评估提供了便利，市场法评估结论的准确度更高。</w:t>
      </w:r>
    </w:p>
    <w:p w:rsidR="00405293" w:rsidRDefault="00405293" w:rsidP="00405293">
      <w:pPr>
        <w:ind w:firstLineChars="200" w:firstLine="420"/>
        <w:rPr>
          <w:rFonts w:hint="eastAsia"/>
        </w:rPr>
      </w:pPr>
      <w:r>
        <w:rPr>
          <w:rFonts w:hint="eastAsia"/>
        </w:rPr>
        <w:t>（五）头部资产评估机构业务占比高</w:t>
      </w:r>
    </w:p>
    <w:p w:rsidR="00405293" w:rsidRDefault="00405293" w:rsidP="00405293">
      <w:pPr>
        <w:ind w:firstLineChars="200" w:firstLine="420"/>
        <w:rPr>
          <w:rFonts w:hint="eastAsia"/>
        </w:rPr>
      </w:pPr>
      <w:r>
        <w:rPr>
          <w:rFonts w:hint="eastAsia"/>
        </w:rPr>
        <w:t>18</w:t>
      </w:r>
      <w:r>
        <w:rPr>
          <w:rFonts w:hint="eastAsia"/>
        </w:rPr>
        <w:t>家证券评估机构参与了</w:t>
      </w:r>
      <w:r>
        <w:rPr>
          <w:rFonts w:hint="eastAsia"/>
        </w:rPr>
        <w:t>41</w:t>
      </w:r>
      <w:r>
        <w:rPr>
          <w:rFonts w:hint="eastAsia"/>
        </w:rPr>
        <w:t>宗审核项目的资产评估，其中前五大资产评估机构参与了</w:t>
      </w:r>
      <w:r>
        <w:rPr>
          <w:rFonts w:hint="eastAsia"/>
        </w:rPr>
        <w:t>18</w:t>
      </w:r>
      <w:r>
        <w:rPr>
          <w:rFonts w:hint="eastAsia"/>
        </w:rPr>
        <w:t>宗，占比</w:t>
      </w:r>
      <w:r>
        <w:rPr>
          <w:rFonts w:hint="eastAsia"/>
        </w:rPr>
        <w:t>45%</w:t>
      </w:r>
      <w:r>
        <w:rPr>
          <w:rFonts w:hint="eastAsia"/>
        </w:rPr>
        <w:t>；从并购重组涉及的</w:t>
      </w:r>
      <w:r>
        <w:rPr>
          <w:rFonts w:hint="eastAsia"/>
        </w:rPr>
        <w:t>83</w:t>
      </w:r>
      <w:r>
        <w:rPr>
          <w:rFonts w:hint="eastAsia"/>
        </w:rPr>
        <w:t>家标的公司看，前五大资产评估机构参与评估</w:t>
      </w:r>
      <w:r>
        <w:rPr>
          <w:rFonts w:hint="eastAsia"/>
        </w:rPr>
        <w:t>34</w:t>
      </w:r>
      <w:r>
        <w:rPr>
          <w:rFonts w:hint="eastAsia"/>
        </w:rPr>
        <w:t>个评估标的，占比</w:t>
      </w:r>
      <w:r>
        <w:rPr>
          <w:rFonts w:hint="eastAsia"/>
        </w:rPr>
        <w:t>41%</w:t>
      </w:r>
      <w:r>
        <w:rPr>
          <w:rFonts w:hint="eastAsia"/>
        </w:rPr>
        <w:t>。前五大资产评估机构在并购重组委审核项目评估业务中优势明显。</w:t>
      </w:r>
    </w:p>
    <w:p w:rsidR="00405293" w:rsidRDefault="00405293" w:rsidP="00405293">
      <w:pPr>
        <w:ind w:firstLineChars="200" w:firstLine="420"/>
        <w:rPr>
          <w:rFonts w:hint="eastAsia"/>
        </w:rPr>
      </w:pPr>
      <w:r>
        <w:rPr>
          <w:rFonts w:hint="eastAsia"/>
        </w:rPr>
        <w:t>四、证券服务业务资产评估折现率计算和披露情况</w:t>
      </w:r>
    </w:p>
    <w:p w:rsidR="00405293" w:rsidRDefault="00405293" w:rsidP="00405293">
      <w:pPr>
        <w:ind w:firstLineChars="200" w:firstLine="420"/>
        <w:rPr>
          <w:rFonts w:hint="eastAsia"/>
        </w:rPr>
      </w:pPr>
      <w:r>
        <w:rPr>
          <w:rFonts w:hint="eastAsia"/>
        </w:rPr>
        <w:lastRenderedPageBreak/>
        <w:t>2021</w:t>
      </w:r>
      <w:r>
        <w:rPr>
          <w:rFonts w:hint="eastAsia"/>
        </w:rPr>
        <w:t>年</w:t>
      </w:r>
      <w:r>
        <w:rPr>
          <w:rFonts w:hint="eastAsia"/>
        </w:rPr>
        <w:t>1</w:t>
      </w:r>
      <w:r>
        <w:rPr>
          <w:rFonts w:hint="eastAsia"/>
        </w:rPr>
        <w:t>月，证监会发布《监管规则适用指引——评估类第</w:t>
      </w:r>
      <w:r>
        <w:rPr>
          <w:rFonts w:hint="eastAsia"/>
        </w:rPr>
        <w:t>1</w:t>
      </w:r>
      <w:r>
        <w:rPr>
          <w:rFonts w:hint="eastAsia"/>
        </w:rPr>
        <w:t>号》，针对证券服务业务资产评估折现率测算涉及的参数进行规范，本报告对并购重组项目中折现率的计算及披露进行了如下分析：</w:t>
      </w:r>
    </w:p>
    <w:p w:rsidR="00405293" w:rsidRDefault="00405293" w:rsidP="00405293">
      <w:pPr>
        <w:ind w:firstLineChars="200" w:firstLine="420"/>
        <w:rPr>
          <w:rFonts w:hint="eastAsia"/>
        </w:rPr>
      </w:pPr>
      <w:r>
        <w:rPr>
          <w:rFonts w:hint="eastAsia"/>
        </w:rPr>
        <w:t>（一）</w:t>
      </w:r>
      <w:r>
        <w:rPr>
          <w:rFonts w:hint="eastAsia"/>
        </w:rPr>
        <w:t>WACC</w:t>
      </w:r>
      <w:r>
        <w:rPr>
          <w:rFonts w:hint="eastAsia"/>
        </w:rPr>
        <w:t>模型仍为折现率计算最主要模型</w:t>
      </w:r>
    </w:p>
    <w:p w:rsidR="00405293" w:rsidRDefault="00405293" w:rsidP="00405293">
      <w:pPr>
        <w:ind w:firstLineChars="200" w:firstLine="420"/>
        <w:rPr>
          <w:rFonts w:hint="eastAsia"/>
        </w:rPr>
      </w:pPr>
      <w:r>
        <w:rPr>
          <w:rFonts w:hint="eastAsia"/>
        </w:rPr>
        <w:t>2021</w:t>
      </w:r>
      <w:r>
        <w:rPr>
          <w:rFonts w:hint="eastAsia"/>
        </w:rPr>
        <w:t>年并购重组委审核项目中，</w:t>
      </w:r>
      <w:r>
        <w:rPr>
          <w:rFonts w:hint="eastAsia"/>
        </w:rPr>
        <w:t>119</w:t>
      </w:r>
      <w:r>
        <w:rPr>
          <w:rFonts w:hint="eastAsia"/>
        </w:rPr>
        <w:t>家被评估单位采用了收益法进行评估，且全部披露收益法评估中关于折现率参数选取的过程，其中</w:t>
      </w:r>
      <w:r>
        <w:rPr>
          <w:rFonts w:hint="eastAsia"/>
        </w:rPr>
        <w:t>115</w:t>
      </w:r>
      <w:r>
        <w:rPr>
          <w:rFonts w:hint="eastAsia"/>
        </w:rPr>
        <w:t>家被评估单位的评估选用了</w:t>
      </w:r>
      <w:r>
        <w:rPr>
          <w:rFonts w:hint="eastAsia"/>
        </w:rPr>
        <w:t>WCAA</w:t>
      </w:r>
      <w:r>
        <w:rPr>
          <w:rFonts w:hint="eastAsia"/>
        </w:rPr>
        <w:t>模型，占比</w:t>
      </w:r>
      <w:r>
        <w:rPr>
          <w:rFonts w:hint="eastAsia"/>
        </w:rPr>
        <w:t>96.6%</w:t>
      </w:r>
      <w:r>
        <w:rPr>
          <w:rFonts w:hint="eastAsia"/>
        </w:rPr>
        <w:t>，</w:t>
      </w:r>
      <w:r>
        <w:rPr>
          <w:rFonts w:hint="eastAsia"/>
        </w:rPr>
        <w:t>3</w:t>
      </w:r>
      <w:r>
        <w:rPr>
          <w:rFonts w:hint="eastAsia"/>
        </w:rPr>
        <w:t>家被评估单位选用了</w:t>
      </w:r>
      <w:r>
        <w:rPr>
          <w:rFonts w:hint="eastAsia"/>
        </w:rPr>
        <w:t>CAPM</w:t>
      </w:r>
      <w:r>
        <w:rPr>
          <w:rFonts w:hint="eastAsia"/>
        </w:rPr>
        <w:t>模型，</w:t>
      </w:r>
      <w:r>
        <w:rPr>
          <w:rFonts w:hint="eastAsia"/>
        </w:rPr>
        <w:t>1</w:t>
      </w:r>
      <w:r>
        <w:rPr>
          <w:rFonts w:hint="eastAsia"/>
        </w:rPr>
        <w:t>家选用了累加法确定折现率，</w:t>
      </w:r>
      <w:r>
        <w:rPr>
          <w:rFonts w:hint="eastAsia"/>
        </w:rPr>
        <w:t>WACC</w:t>
      </w:r>
      <w:r>
        <w:rPr>
          <w:rFonts w:hint="eastAsia"/>
        </w:rPr>
        <w:t>模型为折现率计算最主要模型。</w:t>
      </w:r>
    </w:p>
    <w:p w:rsidR="00405293" w:rsidRDefault="00405293" w:rsidP="00405293">
      <w:pPr>
        <w:ind w:firstLineChars="200" w:firstLine="420"/>
        <w:rPr>
          <w:rFonts w:hint="eastAsia"/>
        </w:rPr>
      </w:pPr>
      <w:r>
        <w:rPr>
          <w:rFonts w:hint="eastAsia"/>
        </w:rPr>
        <w:t>（二）折现率取值差异较大，基本反映行业风险特征</w:t>
      </w:r>
    </w:p>
    <w:p w:rsidR="00405293" w:rsidRDefault="00405293" w:rsidP="00405293">
      <w:pPr>
        <w:ind w:firstLineChars="200" w:firstLine="420"/>
      </w:pPr>
      <w:r>
        <w:rPr>
          <w:rFonts w:hint="eastAsia"/>
        </w:rPr>
        <w:t>从折现率分布区间来看，选取</w:t>
      </w:r>
      <w:r>
        <w:rPr>
          <w:rFonts w:hint="eastAsia"/>
        </w:rPr>
        <w:t>WACC</w:t>
      </w:r>
      <w:r>
        <w:rPr>
          <w:rFonts w:hint="eastAsia"/>
        </w:rPr>
        <w:t>模型计算折现率的</w:t>
      </w:r>
      <w:r>
        <w:rPr>
          <w:rFonts w:hint="eastAsia"/>
        </w:rPr>
        <w:t>115</w:t>
      </w:r>
      <w:r>
        <w:rPr>
          <w:rFonts w:hint="eastAsia"/>
        </w:rPr>
        <w:t>家被评估单位中，</w:t>
      </w:r>
      <w:r>
        <w:rPr>
          <w:rFonts w:hint="eastAsia"/>
        </w:rPr>
        <w:t>49</w:t>
      </w:r>
      <w:r>
        <w:rPr>
          <w:rFonts w:hint="eastAsia"/>
        </w:rPr>
        <w:t>家被评估单位的折现率在</w:t>
      </w:r>
      <w:r>
        <w:rPr>
          <w:rFonts w:hint="eastAsia"/>
        </w:rPr>
        <w:t>10%</w:t>
      </w:r>
      <w:r>
        <w:rPr>
          <w:rFonts w:hint="eastAsia"/>
        </w:rPr>
        <w:t>以下，占比为</w:t>
      </w:r>
      <w:r>
        <w:rPr>
          <w:rFonts w:hint="eastAsia"/>
        </w:rPr>
        <w:t>42.6%</w:t>
      </w:r>
      <w:r>
        <w:rPr>
          <w:rFonts w:hint="eastAsia"/>
        </w:rPr>
        <w:t>，</w:t>
      </w:r>
      <w:r>
        <w:rPr>
          <w:rFonts w:hint="eastAsia"/>
        </w:rPr>
        <w:t>36</w:t>
      </w:r>
      <w:r>
        <w:rPr>
          <w:rFonts w:hint="eastAsia"/>
        </w:rPr>
        <w:t>家折现率在</w:t>
      </w:r>
      <w:r>
        <w:rPr>
          <w:rFonts w:hint="eastAsia"/>
        </w:rPr>
        <w:t>10%-12%</w:t>
      </w:r>
      <w:r>
        <w:rPr>
          <w:rFonts w:hint="eastAsia"/>
        </w:rPr>
        <w:t>之间，占比为</w:t>
      </w:r>
      <w:r>
        <w:rPr>
          <w:rFonts w:hint="eastAsia"/>
        </w:rPr>
        <w:t>31.3%</w:t>
      </w:r>
      <w:r>
        <w:rPr>
          <w:rFonts w:hint="eastAsia"/>
        </w:rPr>
        <w:t>，</w:t>
      </w:r>
      <w:r>
        <w:rPr>
          <w:rFonts w:hint="eastAsia"/>
        </w:rPr>
        <w:t>29</w:t>
      </w:r>
      <w:r>
        <w:rPr>
          <w:rFonts w:hint="eastAsia"/>
        </w:rPr>
        <w:t>家折现率在</w:t>
      </w:r>
      <w:r>
        <w:rPr>
          <w:rFonts w:hint="eastAsia"/>
        </w:rPr>
        <w:t>12%-14%</w:t>
      </w:r>
      <w:r>
        <w:rPr>
          <w:rFonts w:hint="eastAsia"/>
        </w:rPr>
        <w:t>之间，占比为</w:t>
      </w:r>
      <w:r>
        <w:rPr>
          <w:rFonts w:hint="eastAsia"/>
        </w:rPr>
        <w:t>25.2%</w:t>
      </w:r>
      <w:r>
        <w:rPr>
          <w:rFonts w:hint="eastAsia"/>
        </w:rPr>
        <w:t>，</w:t>
      </w:r>
      <w:r>
        <w:rPr>
          <w:rFonts w:hint="eastAsia"/>
        </w:rPr>
        <w:t>1</w:t>
      </w:r>
      <w:r>
        <w:rPr>
          <w:rFonts w:hint="eastAsia"/>
        </w:rPr>
        <w:t>家被评估单位折现率在</w:t>
      </w:r>
      <w:r>
        <w:rPr>
          <w:rFonts w:hint="eastAsia"/>
        </w:rPr>
        <w:t>14%</w:t>
      </w:r>
      <w:r>
        <w:rPr>
          <w:rFonts w:hint="eastAsia"/>
        </w:rPr>
        <w:t>以上，占比为</w:t>
      </w:r>
      <w:r>
        <w:rPr>
          <w:rFonts w:hint="eastAsia"/>
        </w:rPr>
        <w:t>0.9%</w:t>
      </w:r>
      <w:r>
        <w:rPr>
          <w:rFonts w:hint="eastAsia"/>
        </w:rPr>
        <w:t>。从被评估单位所处行业看，电力、能源等传统行业居多，该类型传统行业经营比较稳定，业务类型比较成熟，折现率较低；服务行业经营情况复杂，行业波动大，折现率较高，折现率基本反映行业风险特征。</w:t>
      </w:r>
    </w:p>
    <w:p w:rsidR="00405293" w:rsidRDefault="00405293" w:rsidP="00405293">
      <w:pPr>
        <w:ind w:firstLineChars="200" w:firstLine="420"/>
        <w:rPr>
          <w:rFonts w:hint="eastAsia"/>
        </w:rPr>
      </w:pPr>
      <w:r>
        <w:rPr>
          <w:rFonts w:hint="eastAsia"/>
          <w:noProof/>
        </w:rPr>
        <w:drawing>
          <wp:inline distT="0" distB="0" distL="0" distR="0">
            <wp:extent cx="5274310" cy="458914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4589145"/>
                    </a:xfrm>
                    <a:prstGeom prst="rect">
                      <a:avLst/>
                    </a:prstGeom>
                  </pic:spPr>
                </pic:pic>
              </a:graphicData>
            </a:graphic>
          </wp:inline>
        </w:drawing>
      </w:r>
    </w:p>
    <w:p w:rsidR="00405293" w:rsidRDefault="00405293" w:rsidP="00405293">
      <w:pPr>
        <w:ind w:firstLineChars="200" w:firstLine="420"/>
        <w:rPr>
          <w:rFonts w:hint="eastAsia"/>
        </w:rPr>
      </w:pPr>
      <w:r>
        <w:rPr>
          <w:rFonts w:hint="eastAsia"/>
        </w:rPr>
        <w:t>（三）无风险报酬率以国债为主，主要参考</w:t>
      </w:r>
      <w:r>
        <w:rPr>
          <w:rFonts w:hint="eastAsia"/>
        </w:rPr>
        <w:t>10</w:t>
      </w:r>
      <w:r>
        <w:rPr>
          <w:rFonts w:hint="eastAsia"/>
        </w:rPr>
        <w:t>年期国债利率</w:t>
      </w:r>
    </w:p>
    <w:p w:rsidR="00405293" w:rsidRDefault="00405293" w:rsidP="00405293">
      <w:pPr>
        <w:ind w:firstLineChars="200" w:firstLine="420"/>
        <w:rPr>
          <w:rFonts w:hint="eastAsia"/>
        </w:rPr>
      </w:pPr>
      <w:r>
        <w:rPr>
          <w:rFonts w:hint="eastAsia"/>
        </w:rPr>
        <w:t>2021</w:t>
      </w:r>
      <w:r>
        <w:rPr>
          <w:rFonts w:hint="eastAsia"/>
        </w:rPr>
        <w:t>年并购重组委审核项目中，涉及收益法评估的被评估单位</w:t>
      </w:r>
      <w:r>
        <w:rPr>
          <w:rFonts w:hint="eastAsia"/>
        </w:rPr>
        <w:t>119</w:t>
      </w:r>
      <w:r>
        <w:rPr>
          <w:rFonts w:hint="eastAsia"/>
        </w:rPr>
        <w:t>家，</w:t>
      </w:r>
      <w:r>
        <w:rPr>
          <w:rFonts w:hint="eastAsia"/>
        </w:rPr>
        <w:t>106</w:t>
      </w:r>
      <w:r>
        <w:rPr>
          <w:rFonts w:hint="eastAsia"/>
        </w:rPr>
        <w:t>家披露折现率中无风险利率计算过程，其中</w:t>
      </w:r>
      <w:r>
        <w:rPr>
          <w:rFonts w:hint="eastAsia"/>
        </w:rPr>
        <w:t>53</w:t>
      </w:r>
      <w:r>
        <w:rPr>
          <w:rFonts w:hint="eastAsia"/>
        </w:rPr>
        <w:t>家被评估单位选取</w:t>
      </w:r>
      <w:r>
        <w:rPr>
          <w:rFonts w:hint="eastAsia"/>
        </w:rPr>
        <w:t>10</w:t>
      </w:r>
      <w:r>
        <w:rPr>
          <w:rFonts w:hint="eastAsia"/>
        </w:rPr>
        <w:t>年期国债到期收益率，占比为</w:t>
      </w:r>
      <w:r>
        <w:rPr>
          <w:rFonts w:hint="eastAsia"/>
        </w:rPr>
        <w:t>50%</w:t>
      </w:r>
      <w:r>
        <w:rPr>
          <w:rFonts w:hint="eastAsia"/>
        </w:rPr>
        <w:t>，</w:t>
      </w:r>
      <w:r>
        <w:rPr>
          <w:rFonts w:hint="eastAsia"/>
        </w:rPr>
        <w:t>31</w:t>
      </w:r>
      <w:r>
        <w:rPr>
          <w:rFonts w:hint="eastAsia"/>
        </w:rPr>
        <w:t>家被评估单位选取剩余期限</w:t>
      </w:r>
      <w:r>
        <w:rPr>
          <w:rFonts w:hint="eastAsia"/>
        </w:rPr>
        <w:t>10</w:t>
      </w:r>
      <w:r>
        <w:rPr>
          <w:rFonts w:hint="eastAsia"/>
        </w:rPr>
        <w:t>年以上国债收益率，占比为</w:t>
      </w:r>
      <w:r>
        <w:rPr>
          <w:rFonts w:hint="eastAsia"/>
        </w:rPr>
        <w:t>29.3%</w:t>
      </w:r>
      <w:r>
        <w:rPr>
          <w:rFonts w:hint="eastAsia"/>
        </w:rPr>
        <w:t>，</w:t>
      </w:r>
      <w:r>
        <w:rPr>
          <w:rFonts w:hint="eastAsia"/>
        </w:rPr>
        <w:t>14</w:t>
      </w:r>
      <w:r>
        <w:rPr>
          <w:rFonts w:hint="eastAsia"/>
        </w:rPr>
        <w:t>家被评估单位选取了</w:t>
      </w:r>
      <w:r>
        <w:rPr>
          <w:rFonts w:hint="eastAsia"/>
        </w:rPr>
        <w:t>10</w:t>
      </w:r>
      <w:r>
        <w:rPr>
          <w:rFonts w:hint="eastAsia"/>
        </w:rPr>
        <w:t>年期国债与</w:t>
      </w:r>
      <w:r>
        <w:rPr>
          <w:rFonts w:hint="eastAsia"/>
        </w:rPr>
        <w:t>30</w:t>
      </w:r>
      <w:r>
        <w:rPr>
          <w:rFonts w:hint="eastAsia"/>
        </w:rPr>
        <w:t>年期国债收益率，占比为</w:t>
      </w:r>
      <w:r>
        <w:rPr>
          <w:rFonts w:hint="eastAsia"/>
        </w:rPr>
        <w:t>13.2%</w:t>
      </w:r>
      <w:r>
        <w:rPr>
          <w:rFonts w:hint="eastAsia"/>
        </w:rPr>
        <w:t>。计算折现率中的无风险报酬主</w:t>
      </w:r>
      <w:r>
        <w:rPr>
          <w:rFonts w:hint="eastAsia"/>
        </w:rPr>
        <w:lastRenderedPageBreak/>
        <w:t>要参考国债到期收益率确定，其中</w:t>
      </w:r>
      <w:r>
        <w:rPr>
          <w:rFonts w:hint="eastAsia"/>
        </w:rPr>
        <w:t>10</w:t>
      </w:r>
      <w:r>
        <w:rPr>
          <w:rFonts w:hint="eastAsia"/>
        </w:rPr>
        <w:t>年期国债利率为主要参考对象。</w:t>
      </w:r>
    </w:p>
    <w:p w:rsidR="00405293" w:rsidRDefault="00405293" w:rsidP="00405293">
      <w:pPr>
        <w:ind w:firstLineChars="200" w:firstLine="420"/>
        <w:rPr>
          <w:rFonts w:hint="eastAsia"/>
        </w:rPr>
      </w:pPr>
      <w:r>
        <w:rPr>
          <w:rFonts w:hint="eastAsia"/>
        </w:rPr>
        <w:t>（四）市场风险溢价主要以中国市场为主，指数选择以沪深</w:t>
      </w:r>
      <w:r>
        <w:rPr>
          <w:rFonts w:hint="eastAsia"/>
        </w:rPr>
        <w:t>300</w:t>
      </w:r>
      <w:r>
        <w:rPr>
          <w:rFonts w:hint="eastAsia"/>
        </w:rPr>
        <w:t>等为主</w:t>
      </w:r>
    </w:p>
    <w:p w:rsidR="00405293" w:rsidRDefault="00405293" w:rsidP="00405293">
      <w:pPr>
        <w:ind w:firstLineChars="200" w:firstLine="420"/>
        <w:rPr>
          <w:rFonts w:hint="eastAsia"/>
        </w:rPr>
      </w:pPr>
      <w:r>
        <w:rPr>
          <w:rFonts w:hint="eastAsia"/>
        </w:rPr>
        <w:t>已披露市场风险溢价的被评估单位中，</w:t>
      </w:r>
      <w:r>
        <w:rPr>
          <w:rFonts w:hint="eastAsia"/>
        </w:rPr>
        <w:t>58</w:t>
      </w:r>
      <w:r>
        <w:rPr>
          <w:rFonts w:hint="eastAsia"/>
        </w:rPr>
        <w:t>家市场风险溢价在</w:t>
      </w:r>
      <w:r>
        <w:rPr>
          <w:rFonts w:hint="eastAsia"/>
        </w:rPr>
        <w:t>7%-7.5%</w:t>
      </w:r>
      <w:r>
        <w:rPr>
          <w:rFonts w:hint="eastAsia"/>
        </w:rPr>
        <w:t>之间，占比为</w:t>
      </w:r>
      <w:r>
        <w:rPr>
          <w:rFonts w:hint="eastAsia"/>
        </w:rPr>
        <w:t>50.4%</w:t>
      </w:r>
      <w:r>
        <w:rPr>
          <w:rFonts w:hint="eastAsia"/>
        </w:rPr>
        <w:t>；</w:t>
      </w:r>
      <w:r>
        <w:rPr>
          <w:rFonts w:hint="eastAsia"/>
        </w:rPr>
        <w:t>30</w:t>
      </w:r>
      <w:r>
        <w:rPr>
          <w:rFonts w:hint="eastAsia"/>
        </w:rPr>
        <w:t>家在</w:t>
      </w:r>
      <w:r>
        <w:rPr>
          <w:rFonts w:hint="eastAsia"/>
        </w:rPr>
        <w:t>6.5%-7%</w:t>
      </w:r>
      <w:r>
        <w:rPr>
          <w:rFonts w:hint="eastAsia"/>
        </w:rPr>
        <w:t>之间，占比为</w:t>
      </w:r>
      <w:r>
        <w:rPr>
          <w:rFonts w:hint="eastAsia"/>
        </w:rPr>
        <w:t>26.1%</w:t>
      </w:r>
      <w:r>
        <w:rPr>
          <w:rFonts w:hint="eastAsia"/>
        </w:rPr>
        <w:t>，其余区间占比分布不足</w:t>
      </w:r>
      <w:r>
        <w:rPr>
          <w:rFonts w:hint="eastAsia"/>
        </w:rPr>
        <w:t>25%</w:t>
      </w:r>
      <w:r>
        <w:rPr>
          <w:rFonts w:hint="eastAsia"/>
        </w:rPr>
        <w:t>。从选取的参照市场看，</w:t>
      </w:r>
      <w:r>
        <w:rPr>
          <w:rFonts w:hint="eastAsia"/>
        </w:rPr>
        <w:t>77</w:t>
      </w:r>
      <w:r>
        <w:rPr>
          <w:rFonts w:hint="eastAsia"/>
        </w:rPr>
        <w:t>家被评估单位选取中国市场作为参照市场，占比为</w:t>
      </w:r>
      <w:r>
        <w:rPr>
          <w:rFonts w:hint="eastAsia"/>
        </w:rPr>
        <w:t>64.7%</w:t>
      </w:r>
      <w:r>
        <w:rPr>
          <w:rFonts w:hint="eastAsia"/>
        </w:rPr>
        <w:t>，</w:t>
      </w:r>
      <w:r>
        <w:rPr>
          <w:rFonts w:hint="eastAsia"/>
        </w:rPr>
        <w:t>39</w:t>
      </w:r>
      <w:r>
        <w:rPr>
          <w:rFonts w:hint="eastAsia"/>
        </w:rPr>
        <w:t>家选取美国市场作为参照市场，占比为</w:t>
      </w:r>
      <w:r>
        <w:rPr>
          <w:rFonts w:hint="eastAsia"/>
        </w:rPr>
        <w:t>32.8%</w:t>
      </w:r>
      <w:r>
        <w:rPr>
          <w:rFonts w:hint="eastAsia"/>
        </w:rPr>
        <w:t>。市场风险溢价计算主要以中国市场为主。选取中国市场作为参照市场的评估中，</w:t>
      </w:r>
      <w:r>
        <w:rPr>
          <w:rFonts w:hint="eastAsia"/>
        </w:rPr>
        <w:t>62</w:t>
      </w:r>
      <w:r>
        <w:rPr>
          <w:rFonts w:hint="eastAsia"/>
        </w:rPr>
        <w:t>家选取上证综指、深证成指、沪深</w:t>
      </w:r>
      <w:r>
        <w:rPr>
          <w:rFonts w:hint="eastAsia"/>
        </w:rPr>
        <w:t>300</w:t>
      </w:r>
      <w:r>
        <w:rPr>
          <w:rFonts w:hint="eastAsia"/>
        </w:rPr>
        <w:t>作为市场指数，合计占比</w:t>
      </w:r>
      <w:r>
        <w:rPr>
          <w:rFonts w:hint="eastAsia"/>
        </w:rPr>
        <w:t>80.5%</w:t>
      </w:r>
      <w:r>
        <w:rPr>
          <w:rFonts w:hint="eastAsia"/>
        </w:rPr>
        <w:t>。</w:t>
      </w:r>
    </w:p>
    <w:p w:rsidR="00405293" w:rsidRDefault="00405293" w:rsidP="00405293">
      <w:pPr>
        <w:ind w:firstLineChars="200" w:firstLine="420"/>
        <w:rPr>
          <w:rFonts w:hint="eastAsia"/>
        </w:rPr>
      </w:pPr>
      <w:r>
        <w:rPr>
          <w:rFonts w:hint="eastAsia"/>
        </w:rPr>
        <w:t>（五）八成被评估单位特定风险报酬率在</w:t>
      </w:r>
      <w:r>
        <w:rPr>
          <w:rFonts w:hint="eastAsia"/>
        </w:rPr>
        <w:t>0%-3%</w:t>
      </w:r>
      <w:r>
        <w:rPr>
          <w:rFonts w:hint="eastAsia"/>
        </w:rPr>
        <w:t>之间</w:t>
      </w:r>
    </w:p>
    <w:p w:rsidR="00405293" w:rsidRDefault="00405293" w:rsidP="00405293">
      <w:pPr>
        <w:ind w:firstLineChars="200" w:firstLine="420"/>
        <w:rPr>
          <w:rFonts w:hint="eastAsia"/>
        </w:rPr>
      </w:pPr>
      <w:r>
        <w:rPr>
          <w:rFonts w:hint="eastAsia"/>
        </w:rPr>
        <w:t>117</w:t>
      </w:r>
      <w:r>
        <w:rPr>
          <w:rFonts w:hint="eastAsia"/>
        </w:rPr>
        <w:t>家已披露特定风险报酬取值的被评估单位中，特定风险报酬率取值范围分布在</w:t>
      </w:r>
      <w:r>
        <w:rPr>
          <w:rFonts w:hint="eastAsia"/>
        </w:rPr>
        <w:t>0-5%</w:t>
      </w:r>
      <w:r>
        <w:rPr>
          <w:rFonts w:hint="eastAsia"/>
        </w:rPr>
        <w:t>之间。从特定风险报酬率取值分布来看，</w:t>
      </w:r>
      <w:r>
        <w:rPr>
          <w:rFonts w:hint="eastAsia"/>
        </w:rPr>
        <w:t>31</w:t>
      </w:r>
      <w:r>
        <w:rPr>
          <w:rFonts w:hint="eastAsia"/>
        </w:rPr>
        <w:t>家被评估单位的特定风险报酬率取值在</w:t>
      </w:r>
      <w:r>
        <w:rPr>
          <w:rFonts w:hint="eastAsia"/>
        </w:rPr>
        <w:t>0-1%</w:t>
      </w:r>
      <w:r>
        <w:rPr>
          <w:rFonts w:hint="eastAsia"/>
        </w:rPr>
        <w:t>之间，占比为</w:t>
      </w:r>
      <w:r>
        <w:rPr>
          <w:rFonts w:hint="eastAsia"/>
        </w:rPr>
        <w:t>26.5%</w:t>
      </w:r>
      <w:r>
        <w:rPr>
          <w:rFonts w:hint="eastAsia"/>
        </w:rPr>
        <w:t>，</w:t>
      </w:r>
      <w:r>
        <w:rPr>
          <w:rFonts w:hint="eastAsia"/>
        </w:rPr>
        <w:t>34</w:t>
      </w:r>
      <w:r>
        <w:rPr>
          <w:rFonts w:hint="eastAsia"/>
        </w:rPr>
        <w:t>家被评估单位的特定风险报酬率取值在</w:t>
      </w:r>
      <w:r>
        <w:rPr>
          <w:rFonts w:hint="eastAsia"/>
        </w:rPr>
        <w:t>1%-2%</w:t>
      </w:r>
      <w:r>
        <w:rPr>
          <w:rFonts w:hint="eastAsia"/>
        </w:rPr>
        <w:t>之间，占比为</w:t>
      </w:r>
      <w:r>
        <w:rPr>
          <w:rFonts w:hint="eastAsia"/>
        </w:rPr>
        <w:t>29.1%</w:t>
      </w:r>
      <w:r>
        <w:rPr>
          <w:rFonts w:hint="eastAsia"/>
        </w:rPr>
        <w:t>，</w:t>
      </w:r>
      <w:r>
        <w:rPr>
          <w:rFonts w:hint="eastAsia"/>
        </w:rPr>
        <w:t>30</w:t>
      </w:r>
      <w:r>
        <w:rPr>
          <w:rFonts w:hint="eastAsia"/>
        </w:rPr>
        <w:t>家被评估单位的特定风险报酬取值在</w:t>
      </w:r>
      <w:r>
        <w:rPr>
          <w:rFonts w:hint="eastAsia"/>
        </w:rPr>
        <w:t>2%-3%</w:t>
      </w:r>
      <w:r>
        <w:rPr>
          <w:rFonts w:hint="eastAsia"/>
        </w:rPr>
        <w:t>之间，占比</w:t>
      </w:r>
      <w:r>
        <w:rPr>
          <w:rFonts w:hint="eastAsia"/>
        </w:rPr>
        <w:t>25.6%</w:t>
      </w:r>
      <w:r>
        <w:rPr>
          <w:rFonts w:hint="eastAsia"/>
        </w:rPr>
        <w:t>，特定风险报酬率在</w:t>
      </w:r>
      <w:r>
        <w:rPr>
          <w:rFonts w:hint="eastAsia"/>
        </w:rPr>
        <w:t>0%-3%</w:t>
      </w:r>
      <w:r>
        <w:rPr>
          <w:rFonts w:hint="eastAsia"/>
        </w:rPr>
        <w:t>之间的占比为</w:t>
      </w:r>
      <w:r>
        <w:rPr>
          <w:rFonts w:hint="eastAsia"/>
        </w:rPr>
        <w:t>81.2%</w:t>
      </w:r>
      <w:r>
        <w:rPr>
          <w:rFonts w:hint="eastAsia"/>
        </w:rPr>
        <w:t>。</w:t>
      </w:r>
    </w:p>
    <w:p w:rsidR="00405293" w:rsidRDefault="00405293" w:rsidP="00405293">
      <w:pPr>
        <w:ind w:firstLineChars="200" w:firstLine="420"/>
        <w:rPr>
          <w:rFonts w:hint="eastAsia"/>
        </w:rPr>
      </w:pPr>
      <w:r>
        <w:rPr>
          <w:rFonts w:hint="eastAsia"/>
        </w:rPr>
        <w:t>（六）权益报酬率在</w:t>
      </w:r>
      <w:r>
        <w:rPr>
          <w:rFonts w:hint="eastAsia"/>
        </w:rPr>
        <w:t>11%-14%</w:t>
      </w:r>
      <w:r>
        <w:rPr>
          <w:rFonts w:hint="eastAsia"/>
        </w:rPr>
        <w:t>之间分布</w:t>
      </w:r>
    </w:p>
    <w:p w:rsidR="00405293" w:rsidRDefault="00405293" w:rsidP="00405293">
      <w:pPr>
        <w:ind w:firstLineChars="200" w:firstLine="420"/>
      </w:pPr>
      <w:r>
        <w:rPr>
          <w:rFonts w:hint="eastAsia"/>
        </w:rPr>
        <w:t>WACC</w:t>
      </w:r>
      <w:r>
        <w:rPr>
          <w:rFonts w:hint="eastAsia"/>
        </w:rPr>
        <w:t>模型下披露权益报酬率计算参数的</w:t>
      </w:r>
      <w:r>
        <w:rPr>
          <w:rFonts w:hint="eastAsia"/>
        </w:rPr>
        <w:t>99</w:t>
      </w:r>
      <w:r>
        <w:rPr>
          <w:rFonts w:hint="eastAsia"/>
        </w:rPr>
        <w:t>家被评估单位中，</w:t>
      </w:r>
      <w:r>
        <w:rPr>
          <w:rFonts w:hint="eastAsia"/>
        </w:rPr>
        <w:t>93</w:t>
      </w:r>
      <w:r>
        <w:rPr>
          <w:rFonts w:hint="eastAsia"/>
        </w:rPr>
        <w:t>家披露计算权益报酬率取值情况，占比</w:t>
      </w:r>
      <w:r>
        <w:rPr>
          <w:rFonts w:hint="eastAsia"/>
        </w:rPr>
        <w:t>93.9%</w:t>
      </w:r>
      <w:r>
        <w:rPr>
          <w:rFonts w:hint="eastAsia"/>
        </w:rPr>
        <w:t>，相比上年提高</w:t>
      </w:r>
      <w:r>
        <w:rPr>
          <w:rFonts w:hint="eastAsia"/>
        </w:rPr>
        <w:t>14.1%</w:t>
      </w:r>
      <w:r>
        <w:rPr>
          <w:rFonts w:hint="eastAsia"/>
        </w:rPr>
        <w:t>。从权益报酬率区间分布看，其中</w:t>
      </w:r>
      <w:r>
        <w:rPr>
          <w:rFonts w:hint="eastAsia"/>
        </w:rPr>
        <w:t>11%-14%</w:t>
      </w:r>
      <w:r>
        <w:rPr>
          <w:rFonts w:hint="eastAsia"/>
        </w:rPr>
        <w:t>之间为</w:t>
      </w:r>
      <w:r>
        <w:rPr>
          <w:rFonts w:hint="eastAsia"/>
        </w:rPr>
        <w:t>76</w:t>
      </w:r>
      <w:r>
        <w:rPr>
          <w:rFonts w:hint="eastAsia"/>
        </w:rPr>
        <w:t>家，占比为</w:t>
      </w:r>
      <w:r>
        <w:rPr>
          <w:rFonts w:hint="eastAsia"/>
        </w:rPr>
        <w:t>76.8%</w:t>
      </w:r>
      <w:r>
        <w:rPr>
          <w:rFonts w:hint="eastAsia"/>
        </w:rPr>
        <w:t>，</w:t>
      </w:r>
      <w:r>
        <w:rPr>
          <w:rFonts w:hint="eastAsia"/>
        </w:rPr>
        <w:t>14%</w:t>
      </w:r>
      <w:r>
        <w:rPr>
          <w:rFonts w:hint="eastAsia"/>
        </w:rPr>
        <w:t>以上的为</w:t>
      </w:r>
      <w:r>
        <w:rPr>
          <w:rFonts w:hint="eastAsia"/>
        </w:rPr>
        <w:t>18</w:t>
      </w:r>
      <w:r>
        <w:rPr>
          <w:rFonts w:hint="eastAsia"/>
        </w:rPr>
        <w:t>家，占比为</w:t>
      </w:r>
      <w:r>
        <w:rPr>
          <w:rFonts w:hint="eastAsia"/>
        </w:rPr>
        <w:t>18.2%</w:t>
      </w:r>
      <w:r>
        <w:rPr>
          <w:rFonts w:hint="eastAsia"/>
        </w:rPr>
        <w:t>，</w:t>
      </w:r>
      <w:r>
        <w:rPr>
          <w:rFonts w:hint="eastAsia"/>
        </w:rPr>
        <w:t>11%</w:t>
      </w:r>
      <w:r>
        <w:rPr>
          <w:rFonts w:hint="eastAsia"/>
        </w:rPr>
        <w:t>以下的为</w:t>
      </w:r>
      <w:r>
        <w:rPr>
          <w:rFonts w:hint="eastAsia"/>
        </w:rPr>
        <w:t>5</w:t>
      </w:r>
      <w:r>
        <w:rPr>
          <w:rFonts w:hint="eastAsia"/>
        </w:rPr>
        <w:t>家，占比为</w:t>
      </w:r>
      <w:r>
        <w:rPr>
          <w:rFonts w:hint="eastAsia"/>
        </w:rPr>
        <w:t>5%</w:t>
      </w:r>
      <w:r>
        <w:rPr>
          <w:rFonts w:hint="eastAsia"/>
        </w:rPr>
        <w:t>。</w:t>
      </w:r>
    </w:p>
    <w:p w:rsidR="00405293" w:rsidRDefault="00405293" w:rsidP="00405293">
      <w:pPr>
        <w:ind w:firstLineChars="200" w:firstLine="420"/>
        <w:rPr>
          <w:rFonts w:hint="eastAsia"/>
        </w:rPr>
      </w:pPr>
      <w:bookmarkStart w:id="0" w:name="_GoBack"/>
      <w:r>
        <w:rPr>
          <w:rFonts w:hint="eastAsia"/>
          <w:noProof/>
        </w:rPr>
        <w:drawing>
          <wp:inline distT="0" distB="0" distL="0" distR="0">
            <wp:extent cx="5274310" cy="171894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718945"/>
                    </a:xfrm>
                    <a:prstGeom prst="rect">
                      <a:avLst/>
                    </a:prstGeom>
                  </pic:spPr>
                </pic:pic>
              </a:graphicData>
            </a:graphic>
          </wp:inline>
        </w:drawing>
      </w:r>
      <w:bookmarkEnd w:id="0"/>
    </w:p>
    <w:p w:rsidR="00405293" w:rsidRDefault="00405293" w:rsidP="00405293">
      <w:pPr>
        <w:ind w:firstLineChars="200" w:firstLine="420"/>
        <w:rPr>
          <w:rFonts w:hint="eastAsia"/>
        </w:rPr>
      </w:pPr>
      <w:r>
        <w:rPr>
          <w:rFonts w:hint="eastAsia"/>
        </w:rPr>
        <w:t>（七）债权期望报酬率主要以</w:t>
      </w:r>
      <w:r>
        <w:rPr>
          <w:rFonts w:hint="eastAsia"/>
        </w:rPr>
        <w:t>LPR</w:t>
      </w:r>
      <w:r>
        <w:rPr>
          <w:rFonts w:hint="eastAsia"/>
        </w:rPr>
        <w:t>为参考，九成以上取值在</w:t>
      </w:r>
      <w:r>
        <w:rPr>
          <w:rFonts w:hint="eastAsia"/>
        </w:rPr>
        <w:t>4%-5%</w:t>
      </w:r>
      <w:r>
        <w:rPr>
          <w:rFonts w:hint="eastAsia"/>
        </w:rPr>
        <w:t>之间</w:t>
      </w:r>
    </w:p>
    <w:p w:rsidR="00405293" w:rsidRDefault="00405293" w:rsidP="00405293">
      <w:pPr>
        <w:ind w:firstLineChars="200" w:firstLine="420"/>
        <w:rPr>
          <w:rFonts w:hint="eastAsia"/>
        </w:rPr>
      </w:pPr>
      <w:r>
        <w:rPr>
          <w:rFonts w:hint="eastAsia"/>
        </w:rPr>
        <w:t>83</w:t>
      </w:r>
      <w:r>
        <w:rPr>
          <w:rFonts w:hint="eastAsia"/>
        </w:rPr>
        <w:t>家披露债权期望报酬率的被评估单位中，</w:t>
      </w:r>
      <w:r>
        <w:rPr>
          <w:rFonts w:hint="eastAsia"/>
        </w:rPr>
        <w:t>75</w:t>
      </w:r>
      <w:r>
        <w:rPr>
          <w:rFonts w:hint="eastAsia"/>
        </w:rPr>
        <w:t>家债权期望报酬率在</w:t>
      </w:r>
      <w:r>
        <w:rPr>
          <w:rFonts w:hint="eastAsia"/>
        </w:rPr>
        <w:t>4%-5%</w:t>
      </w:r>
      <w:r>
        <w:rPr>
          <w:rFonts w:hint="eastAsia"/>
        </w:rPr>
        <w:t>之间，占比为</w:t>
      </w:r>
      <w:r>
        <w:rPr>
          <w:rFonts w:hint="eastAsia"/>
        </w:rPr>
        <w:t>90.4%</w:t>
      </w:r>
      <w:r>
        <w:rPr>
          <w:rFonts w:hint="eastAsia"/>
        </w:rPr>
        <w:t>。从取值参考看，</w:t>
      </w:r>
      <w:r>
        <w:rPr>
          <w:rFonts w:hint="eastAsia"/>
        </w:rPr>
        <w:t>65</w:t>
      </w:r>
      <w:r>
        <w:rPr>
          <w:rFonts w:hint="eastAsia"/>
        </w:rPr>
        <w:t>家选取</w:t>
      </w:r>
      <w:r>
        <w:rPr>
          <w:rFonts w:hint="eastAsia"/>
        </w:rPr>
        <w:t>5</w:t>
      </w:r>
      <w:r>
        <w:rPr>
          <w:rFonts w:hint="eastAsia"/>
        </w:rPr>
        <w:t>年期以上</w:t>
      </w:r>
      <w:r>
        <w:rPr>
          <w:rFonts w:hint="eastAsia"/>
        </w:rPr>
        <w:t>LPR</w:t>
      </w:r>
      <w:r>
        <w:rPr>
          <w:rFonts w:hint="eastAsia"/>
        </w:rPr>
        <w:t>，占比为</w:t>
      </w:r>
      <w:r>
        <w:rPr>
          <w:rFonts w:hint="eastAsia"/>
        </w:rPr>
        <w:t>78.3%</w:t>
      </w:r>
      <w:r>
        <w:rPr>
          <w:rFonts w:hint="eastAsia"/>
        </w:rPr>
        <w:t>，</w:t>
      </w:r>
      <w:r>
        <w:rPr>
          <w:rFonts w:hint="eastAsia"/>
        </w:rPr>
        <w:t>7</w:t>
      </w:r>
      <w:r>
        <w:rPr>
          <w:rFonts w:hint="eastAsia"/>
        </w:rPr>
        <w:t>家选取</w:t>
      </w:r>
      <w:r>
        <w:rPr>
          <w:rFonts w:hint="eastAsia"/>
        </w:rPr>
        <w:t>1</w:t>
      </w:r>
      <w:r>
        <w:rPr>
          <w:rFonts w:hint="eastAsia"/>
        </w:rPr>
        <w:t>年期（短期债务报酬率）、</w:t>
      </w:r>
      <w:r>
        <w:rPr>
          <w:rFonts w:hint="eastAsia"/>
        </w:rPr>
        <w:t>5</w:t>
      </w:r>
      <w:r>
        <w:rPr>
          <w:rFonts w:hint="eastAsia"/>
        </w:rPr>
        <w:t>年期以上（长期债务报酬率）</w:t>
      </w:r>
      <w:r>
        <w:rPr>
          <w:rFonts w:hint="eastAsia"/>
        </w:rPr>
        <w:t>LPR</w:t>
      </w:r>
      <w:r>
        <w:rPr>
          <w:rFonts w:hint="eastAsia"/>
        </w:rPr>
        <w:t>，占比为</w:t>
      </w:r>
      <w:r>
        <w:rPr>
          <w:rFonts w:hint="eastAsia"/>
        </w:rPr>
        <w:t>8.4%</w:t>
      </w:r>
      <w:r>
        <w:rPr>
          <w:rFonts w:hint="eastAsia"/>
        </w:rPr>
        <w:t>，</w:t>
      </w:r>
      <w:r>
        <w:rPr>
          <w:rFonts w:hint="eastAsia"/>
        </w:rPr>
        <w:t>5</w:t>
      </w:r>
      <w:r>
        <w:rPr>
          <w:rFonts w:hint="eastAsia"/>
        </w:rPr>
        <w:t>家选取自身的债务成本，占比为</w:t>
      </w:r>
      <w:r>
        <w:rPr>
          <w:rFonts w:hint="eastAsia"/>
        </w:rPr>
        <w:t>6.0%</w:t>
      </w:r>
      <w:r>
        <w:rPr>
          <w:rFonts w:hint="eastAsia"/>
        </w:rPr>
        <w:t>，债务期望报酬率主要以</w:t>
      </w:r>
      <w:r>
        <w:rPr>
          <w:rFonts w:hint="eastAsia"/>
        </w:rPr>
        <w:t>5</w:t>
      </w:r>
      <w:r>
        <w:rPr>
          <w:rFonts w:hint="eastAsia"/>
        </w:rPr>
        <w:t>年期以上</w:t>
      </w:r>
      <w:r>
        <w:rPr>
          <w:rFonts w:hint="eastAsia"/>
        </w:rPr>
        <w:t>LRP</w:t>
      </w:r>
      <w:r>
        <w:rPr>
          <w:rFonts w:hint="eastAsia"/>
        </w:rPr>
        <w:t>为参考。</w:t>
      </w:r>
    </w:p>
    <w:p w:rsidR="00405293" w:rsidRDefault="00405293" w:rsidP="00405293">
      <w:pPr>
        <w:ind w:firstLineChars="200" w:firstLine="420"/>
        <w:rPr>
          <w:rFonts w:hint="eastAsia"/>
        </w:rPr>
      </w:pPr>
      <w:r>
        <w:rPr>
          <w:rFonts w:hint="eastAsia"/>
        </w:rPr>
        <w:t>五、证券资产评估执业问题</w:t>
      </w:r>
    </w:p>
    <w:p w:rsidR="00405293" w:rsidRDefault="00405293" w:rsidP="00405293">
      <w:pPr>
        <w:ind w:firstLineChars="200" w:firstLine="420"/>
        <w:rPr>
          <w:rFonts w:hint="eastAsia"/>
        </w:rPr>
      </w:pPr>
      <w:r>
        <w:rPr>
          <w:rFonts w:hint="eastAsia"/>
        </w:rPr>
        <w:t>本报告对</w:t>
      </w:r>
      <w:r>
        <w:rPr>
          <w:rFonts w:hint="eastAsia"/>
        </w:rPr>
        <w:t>2021</w:t>
      </w:r>
      <w:r>
        <w:rPr>
          <w:rFonts w:hint="eastAsia"/>
        </w:rPr>
        <w:t>年资产评估机构处理处罚和证券评估机构执业情况进行了分析，发现存在主要问题如下：</w:t>
      </w:r>
    </w:p>
    <w:p w:rsidR="00405293" w:rsidRDefault="00405293" w:rsidP="00405293">
      <w:pPr>
        <w:ind w:firstLineChars="200" w:firstLine="420"/>
        <w:rPr>
          <w:rFonts w:hint="eastAsia"/>
        </w:rPr>
      </w:pPr>
      <w:r>
        <w:rPr>
          <w:rFonts w:hint="eastAsia"/>
        </w:rPr>
        <w:t>（一）评估假设不合理或依据不足</w:t>
      </w:r>
    </w:p>
    <w:p w:rsidR="00405293" w:rsidRDefault="00405293" w:rsidP="00405293">
      <w:pPr>
        <w:ind w:firstLineChars="200" w:firstLine="420"/>
        <w:rPr>
          <w:rFonts w:hint="eastAsia"/>
        </w:rPr>
      </w:pPr>
      <w:r>
        <w:rPr>
          <w:rFonts w:hint="eastAsia"/>
        </w:rPr>
        <w:t>一是评估假设不合理。如对某医药企业拟购买的无形资产的投资价值进行评估时，选用了“公开市场假设”，该假设与评估报告价值类型存在矛盾，评估假设不合理，同时评估报告假设药品研发项目能够通过临床试验并上市，未考虑药品项目后续研发失败的可能，评估假设缺少合理依据。二是评估假设依据不足。如对某供应链公司股权评估时，将重要参数服务费率列入评估假设，并按照</w:t>
      </w:r>
      <w:r>
        <w:rPr>
          <w:rFonts w:hint="eastAsia"/>
        </w:rPr>
        <w:t>3%</w:t>
      </w:r>
      <w:r>
        <w:rPr>
          <w:rFonts w:hint="eastAsia"/>
        </w:rPr>
        <w:t>、</w:t>
      </w:r>
      <w:r>
        <w:rPr>
          <w:rFonts w:hint="eastAsia"/>
        </w:rPr>
        <w:t>5%</w:t>
      </w:r>
      <w:r>
        <w:rPr>
          <w:rFonts w:hint="eastAsia"/>
        </w:rPr>
        <w:t>进行收益预测，上述参数与其实际获取的历史合同中</w:t>
      </w:r>
      <w:r>
        <w:rPr>
          <w:rFonts w:hint="eastAsia"/>
        </w:rPr>
        <w:t>0.42%</w:t>
      </w:r>
      <w:r>
        <w:rPr>
          <w:rFonts w:hint="eastAsia"/>
        </w:rPr>
        <w:t>的服务费率存在明显差异，资产评估时未能获取支持其使用</w:t>
      </w:r>
      <w:r>
        <w:rPr>
          <w:rFonts w:hint="eastAsia"/>
        </w:rPr>
        <w:t>3%</w:t>
      </w:r>
      <w:r>
        <w:rPr>
          <w:rFonts w:hint="eastAsia"/>
        </w:rPr>
        <w:t>、</w:t>
      </w:r>
      <w:r>
        <w:rPr>
          <w:rFonts w:hint="eastAsia"/>
        </w:rPr>
        <w:t>5%</w:t>
      </w:r>
      <w:r>
        <w:rPr>
          <w:rFonts w:hint="eastAsia"/>
        </w:rPr>
        <w:t>服务费率的依据，评估假设依据不足。三是未在评估报告中充分披露评估假设。如在股权收购评估时，评估说明中披露了企业某产品在</w:t>
      </w:r>
      <w:r>
        <w:rPr>
          <w:rFonts w:hint="eastAsia"/>
        </w:rPr>
        <w:t>2018</w:t>
      </w:r>
      <w:r>
        <w:rPr>
          <w:rFonts w:hint="eastAsia"/>
        </w:rPr>
        <w:t>年基本上实现稳定产出，并按企业计划实现最大产能的评估</w:t>
      </w:r>
      <w:r>
        <w:rPr>
          <w:rFonts w:hint="eastAsia"/>
        </w:rPr>
        <w:lastRenderedPageBreak/>
        <w:t>假设，这一假设对评估结果存在重大影响，却未在评估报告中充分披露。</w:t>
      </w:r>
    </w:p>
    <w:p w:rsidR="00405293" w:rsidRDefault="00405293" w:rsidP="00405293">
      <w:pPr>
        <w:ind w:firstLineChars="200" w:firstLine="420"/>
        <w:rPr>
          <w:rFonts w:hint="eastAsia"/>
        </w:rPr>
      </w:pPr>
      <w:r>
        <w:rPr>
          <w:rFonts w:hint="eastAsia"/>
        </w:rPr>
        <w:t>（二）盈利预测依据不充分</w:t>
      </w:r>
    </w:p>
    <w:p w:rsidR="00405293" w:rsidRDefault="00405293" w:rsidP="00405293">
      <w:pPr>
        <w:ind w:firstLineChars="200" w:firstLine="420"/>
        <w:rPr>
          <w:rFonts w:hint="eastAsia"/>
        </w:rPr>
      </w:pPr>
      <w:r>
        <w:rPr>
          <w:rFonts w:hint="eastAsia"/>
        </w:rPr>
        <w:t>一是收入预测依据不充分。如商誉减值测试评估中，资产评估师未对收入和成本预测的分析判断过程予以记录，对管理层提供的数据和资料的核查验证不到位，收入预测依据不充分。二是未说明预测期收入增长率与历史期差异较大的原因及合理性。如商誉减值测试评估中，预测期收入增长率较历史期增长率差异较大，底稿未对差异原因进行分析，也未说明采用的收入预测数据与企业历史期数据存在较大差异的原因。三是研发费用计算错误。如股权收购评估中，在预测</w:t>
      </w:r>
      <w:r>
        <w:rPr>
          <w:rFonts w:hint="eastAsia"/>
        </w:rPr>
        <w:t>2020</w:t>
      </w:r>
      <w:r>
        <w:rPr>
          <w:rFonts w:hint="eastAsia"/>
        </w:rPr>
        <w:t>年研发费用时错误使用了加计扣除比例，在预测</w:t>
      </w:r>
      <w:r>
        <w:rPr>
          <w:rFonts w:hint="eastAsia"/>
        </w:rPr>
        <w:t>2021</w:t>
      </w:r>
      <w:r>
        <w:rPr>
          <w:rFonts w:hint="eastAsia"/>
        </w:rPr>
        <w:t>年及以后年度研发费用时未考虑加计扣除，研发费用计算错误。再如按照优惠所得税政策将预测期内研发费用按照预测发生额的</w:t>
      </w:r>
      <w:r>
        <w:rPr>
          <w:rFonts w:hint="eastAsia"/>
        </w:rPr>
        <w:t>75%</w:t>
      </w:r>
      <w:r>
        <w:rPr>
          <w:rFonts w:hint="eastAsia"/>
        </w:rPr>
        <w:t>在税前加计扣除，未考虑该优惠所得税政策执行的有效期，与企业实际情况不符。四是营运资金测算依据不充分。如商誉减值测试中，公司历史期应收账款、存货等金额逐年上升，应收账款及存货周转率逐年下降，但评估报告预测未来</w:t>
      </w:r>
      <w:r>
        <w:rPr>
          <w:rFonts w:hint="eastAsia"/>
        </w:rPr>
        <w:t>5</w:t>
      </w:r>
      <w:r>
        <w:rPr>
          <w:rFonts w:hint="eastAsia"/>
        </w:rPr>
        <w:t>年应收账款、存货等均下降、应收账款及存货周转率显著高于历史期水平，评估报告未分析存货周转率等指标历史期变动的原因以及未来逐年下降的合理性，营运资金测算依据不充分。五是资本性支出考虑不充分。如在评估资本性支出时，将基准日长期资产作为全新资产，将折旧年限作为更新年限进行评估，未结合资产使用情况考虑距下一次资产更新时点的间隔年限，与企业长期资产支出的实际情况不符，资本性支出考虑不充分。</w:t>
      </w:r>
    </w:p>
    <w:p w:rsidR="00405293" w:rsidRDefault="00405293" w:rsidP="00405293">
      <w:pPr>
        <w:ind w:firstLineChars="200" w:firstLine="420"/>
        <w:rPr>
          <w:rFonts w:hint="eastAsia"/>
        </w:rPr>
      </w:pPr>
      <w:r>
        <w:rPr>
          <w:rFonts w:hint="eastAsia"/>
        </w:rPr>
        <w:t>（三）折现率计算不恰当</w:t>
      </w:r>
    </w:p>
    <w:p w:rsidR="00405293" w:rsidRDefault="00405293" w:rsidP="00405293">
      <w:pPr>
        <w:ind w:firstLineChars="200" w:firstLine="420"/>
        <w:rPr>
          <w:rFonts w:hint="eastAsia"/>
        </w:rPr>
      </w:pPr>
      <w:r>
        <w:rPr>
          <w:rFonts w:hint="eastAsia"/>
        </w:rPr>
        <w:t>一是贝塔系数计算不恰当。如在计算贝塔系数时，选取了深圳证券交易所主板上市公司为对比公司，但选取了上证综合指数作为计算贝塔系数相关的证券市场指数，可比公司和市场指数不匹配，贝塔系数计算不恰当。二是折现率参数选取口径不一致。如无形资产评估中，测算的加权资金成本为税后口径，但其营运资金回报率为税前口径，折现率参数选择口径不一致。三是折现率计算错误。如在计算贝塔系数时，未考虑资本结构影响或计算加权资金成本时债券收益率取值或计算错误。</w:t>
      </w:r>
    </w:p>
    <w:p w:rsidR="00405293" w:rsidRDefault="00405293" w:rsidP="00405293">
      <w:pPr>
        <w:ind w:firstLineChars="200" w:firstLine="420"/>
        <w:rPr>
          <w:rFonts w:hint="eastAsia"/>
        </w:rPr>
      </w:pPr>
      <w:r>
        <w:rPr>
          <w:rFonts w:hint="eastAsia"/>
        </w:rPr>
        <w:t>（四）核查验证不到位</w:t>
      </w:r>
    </w:p>
    <w:p w:rsidR="00405293" w:rsidRDefault="00405293" w:rsidP="00405293">
      <w:pPr>
        <w:ind w:firstLineChars="200" w:firstLine="420"/>
        <w:rPr>
          <w:rFonts w:hint="eastAsia"/>
        </w:rPr>
      </w:pPr>
      <w:r>
        <w:rPr>
          <w:rFonts w:hint="eastAsia"/>
        </w:rPr>
        <w:t>一是函证程序执行不到位。如在某项收购股权评估中，资产评估师未关注多个回函存在的数据差异，工作底稿中未记录回函情况统计表、回函差异原因分析等，函证程序执行不到位。二是应收账款核查验证不充分，如在商誉减值测试评估中，对应收账款核查验证不充分，且存在报告日后发函情况，函证程序执行不到位。三是外聘第三方工作核查不到位。如存货评估中，聘请第三方对标的公司不同地区的存货进行盘点，但未对账面结存数量与盘点数差异进行充分核查验证，也未充分考虑账实差异影响，对外聘第三方工作的核查不到位。四是重大合同核查程序不充分。如商誉减值测试评估中未获取用于预测收入的重要购销协议，合同核查程序不充分。</w:t>
      </w:r>
    </w:p>
    <w:p w:rsidR="00405293" w:rsidRDefault="00405293" w:rsidP="00405293">
      <w:pPr>
        <w:ind w:firstLineChars="200" w:firstLine="420"/>
        <w:rPr>
          <w:rFonts w:hint="eastAsia"/>
        </w:rPr>
      </w:pPr>
      <w:r>
        <w:rPr>
          <w:rFonts w:hint="eastAsia"/>
        </w:rPr>
        <w:t>（五）评估底稿不完备</w:t>
      </w:r>
    </w:p>
    <w:p w:rsidR="00405293" w:rsidRDefault="00405293" w:rsidP="00405293">
      <w:pPr>
        <w:ind w:firstLineChars="200" w:firstLine="420"/>
        <w:rPr>
          <w:rFonts w:hint="eastAsia"/>
        </w:rPr>
      </w:pPr>
      <w:r>
        <w:rPr>
          <w:rFonts w:hint="eastAsia"/>
        </w:rPr>
        <w:t>一是评估估算底稿不完善。如未将成本分析和相关资料收集入工作底稿，导致成本估算底稿不完善；再如未记录相关税金及附加率、销售费用率等参数的选取和形成，评估底稿不完备。二是底稿归档、审核不到位。如评估工作底稿整体编制归档日早于个别底稿文件的编写日，未记录评估机构内部审核意见，记录的审核时间晚于实际审核时间；再如未将电子版底稿列入工作底稿目录中归档等。三是委托方提供的资料未盖章确认。如获取的委托方提供的绝大部分资料未盖章确认，评估底稿不完备。</w:t>
      </w:r>
    </w:p>
    <w:p w:rsidR="00405293" w:rsidRDefault="00405293" w:rsidP="00405293">
      <w:pPr>
        <w:ind w:firstLineChars="200" w:firstLine="420"/>
        <w:rPr>
          <w:rFonts w:hint="eastAsia"/>
        </w:rPr>
      </w:pPr>
      <w:r>
        <w:rPr>
          <w:rFonts w:hint="eastAsia"/>
        </w:rPr>
        <w:t>（六）内部管理不规范，质量控制制度执行不到位</w:t>
      </w:r>
    </w:p>
    <w:p w:rsidR="00405293" w:rsidRDefault="00405293" w:rsidP="00405293">
      <w:pPr>
        <w:ind w:firstLineChars="200" w:firstLine="420"/>
        <w:rPr>
          <w:rFonts w:hint="eastAsia"/>
        </w:rPr>
      </w:pPr>
      <w:r>
        <w:rPr>
          <w:rFonts w:hint="eastAsia"/>
        </w:rPr>
        <w:t>内部管理主要问题包括：一是合伙协议不规范。如合伙协议未规定合伙人资质条件、退出程序，表决程序以及首席评估师的相关任职和职责等。二是人员、业务管理不到位。如公司章程未载明股东不得以其在评估机构中的股权对外出质进行担保，对分公司缺乏有效控</w:t>
      </w:r>
      <w:r>
        <w:rPr>
          <w:rFonts w:hint="eastAsia"/>
        </w:rPr>
        <w:lastRenderedPageBreak/>
        <w:t>制、管理缺位，个别项目存在签字资产评估师未实质参与评估的情形。三是职业风险基金管理不规范，未设立专户核算职业风险基金。</w:t>
      </w:r>
    </w:p>
    <w:p w:rsidR="00405293" w:rsidRDefault="00405293" w:rsidP="00405293">
      <w:pPr>
        <w:ind w:firstLineChars="200" w:firstLine="420"/>
        <w:rPr>
          <w:rFonts w:hint="eastAsia"/>
        </w:rPr>
      </w:pPr>
      <w:r>
        <w:rPr>
          <w:rFonts w:hint="eastAsia"/>
        </w:rPr>
        <w:t>质量控制主要问题包括：一是质量控制制度不完善。未建立项目风险评估、分类制度，未设计资产评估计划编制、审核、批准相关质量控制程序。二是监控不到位。如未在监控制度中明确项目选择、评审人员、评审频率等，监控制度存在缺陷，再如未按规定对项目组成员进行考评并记录，监控执行不到位。三是质量控制记录不完整，如质量控制记录未见项目风险评估及分类结果，质量控制审核意见及项目组答复情况缺失，项目质量控制记录不完整。四是内部惩戒不到位。如未严肃惩戒存在重大违法违规执业问题的执业人员，未对收到行政监管措施的执业人员进行内部追责。五是项目独立性评价不到位，独立性管理存在瑕疵。</w:t>
      </w:r>
    </w:p>
    <w:p w:rsidR="00405293" w:rsidRDefault="00405293" w:rsidP="00405293">
      <w:pPr>
        <w:ind w:firstLineChars="200" w:firstLine="420"/>
        <w:rPr>
          <w:rFonts w:hint="eastAsia"/>
        </w:rPr>
      </w:pPr>
      <w:r>
        <w:rPr>
          <w:rFonts w:hint="eastAsia"/>
        </w:rPr>
        <w:t>上述问题反映出部分证券评估机构疏于质量管理，未能按照统一标准复核评估工作；部分资产评估人员缺乏执业谨慎及专业胜任能力，未能按照资产评估准则和相关监管规定执行资产评估业务。下一步，证监会将继续强化对证券评估机构及其证券服务业务的监管，通过监督检查、专业联系和专业培训等方式切实督促证券评估机构及资产评估人员勤勉尽责、规范执业。</w:t>
      </w:r>
    </w:p>
    <w:p w:rsidR="0045747E" w:rsidRDefault="0045747E" w:rsidP="00405293">
      <w:pPr>
        <w:ind w:firstLineChars="200" w:firstLine="420"/>
      </w:pPr>
    </w:p>
    <w:sectPr w:rsidR="00457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265" w:rsidRDefault="00E10265" w:rsidP="00405293">
      <w:r>
        <w:separator/>
      </w:r>
    </w:p>
  </w:endnote>
  <w:endnote w:type="continuationSeparator" w:id="0">
    <w:p w:rsidR="00E10265" w:rsidRDefault="00E10265" w:rsidP="0040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265" w:rsidRDefault="00E10265" w:rsidP="00405293">
      <w:r>
        <w:separator/>
      </w:r>
    </w:p>
  </w:footnote>
  <w:footnote w:type="continuationSeparator" w:id="0">
    <w:p w:rsidR="00E10265" w:rsidRDefault="00E10265" w:rsidP="00405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2C"/>
    <w:rsid w:val="00405293"/>
    <w:rsid w:val="0044082C"/>
    <w:rsid w:val="0045747E"/>
    <w:rsid w:val="00E1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86767F-24CB-4616-BFAA-24CD3E6C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293"/>
    <w:rPr>
      <w:sz w:val="18"/>
      <w:szCs w:val="18"/>
    </w:rPr>
  </w:style>
  <w:style w:type="paragraph" w:styleId="a4">
    <w:name w:val="footer"/>
    <w:basedOn w:val="a"/>
    <w:link w:val="Char0"/>
    <w:uiPriority w:val="99"/>
    <w:unhideWhenUsed/>
    <w:rsid w:val="00405293"/>
    <w:pPr>
      <w:tabs>
        <w:tab w:val="center" w:pos="4153"/>
        <w:tab w:val="right" w:pos="8306"/>
      </w:tabs>
      <w:snapToGrid w:val="0"/>
      <w:jc w:val="left"/>
    </w:pPr>
    <w:rPr>
      <w:sz w:val="18"/>
      <w:szCs w:val="18"/>
    </w:rPr>
  </w:style>
  <w:style w:type="character" w:customStyle="1" w:styleId="Char0">
    <w:name w:val="页脚 Char"/>
    <w:basedOn w:val="a0"/>
    <w:link w:val="a4"/>
    <w:uiPriority w:val="99"/>
    <w:rsid w:val="00405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46259">
      <w:bodyDiv w:val="1"/>
      <w:marLeft w:val="0"/>
      <w:marRight w:val="0"/>
      <w:marTop w:val="0"/>
      <w:marBottom w:val="0"/>
      <w:divBdr>
        <w:top w:val="none" w:sz="0" w:space="0" w:color="auto"/>
        <w:left w:val="none" w:sz="0" w:space="0" w:color="auto"/>
        <w:bottom w:val="none" w:sz="0" w:space="0" w:color="auto"/>
        <w:right w:val="none" w:sz="0" w:space="0" w:color="auto"/>
      </w:divBdr>
      <w:divsChild>
        <w:div w:id="426779060">
          <w:marLeft w:val="0"/>
          <w:marRight w:val="0"/>
          <w:marTop w:val="0"/>
          <w:marBottom w:val="0"/>
          <w:divBdr>
            <w:top w:val="none" w:sz="0" w:space="0" w:color="auto"/>
            <w:left w:val="none" w:sz="0" w:space="0" w:color="auto"/>
            <w:bottom w:val="none" w:sz="0" w:space="0" w:color="auto"/>
            <w:right w:val="none" w:sz="0" w:space="0" w:color="auto"/>
          </w:divBdr>
          <w:divsChild>
            <w:div w:id="373626255">
              <w:marLeft w:val="0"/>
              <w:marRight w:val="0"/>
              <w:marTop w:val="0"/>
              <w:marBottom w:val="330"/>
              <w:divBdr>
                <w:top w:val="none" w:sz="0" w:space="0" w:color="auto"/>
                <w:left w:val="none" w:sz="0" w:space="0" w:color="auto"/>
                <w:bottom w:val="none" w:sz="0" w:space="0" w:color="auto"/>
                <w:right w:val="none" w:sz="0" w:space="0" w:color="auto"/>
              </w:divBdr>
            </w:div>
          </w:divsChild>
        </w:div>
        <w:div w:id="1335955232">
          <w:marLeft w:val="0"/>
          <w:marRight w:val="0"/>
          <w:marTop w:val="0"/>
          <w:marBottom w:val="0"/>
          <w:divBdr>
            <w:top w:val="none" w:sz="0" w:space="0" w:color="auto"/>
            <w:left w:val="none" w:sz="0" w:space="0" w:color="auto"/>
            <w:bottom w:val="none" w:sz="0" w:space="0" w:color="auto"/>
            <w:right w:val="none" w:sz="0" w:space="0" w:color="auto"/>
          </w:divBdr>
          <w:divsChild>
            <w:div w:id="2125073484">
              <w:marLeft w:val="0"/>
              <w:marRight w:val="0"/>
              <w:marTop w:val="240"/>
              <w:marBottom w:val="0"/>
              <w:divBdr>
                <w:top w:val="none" w:sz="0" w:space="0" w:color="auto"/>
                <w:left w:val="none" w:sz="0" w:space="0" w:color="auto"/>
                <w:bottom w:val="none" w:sz="0" w:space="0" w:color="auto"/>
                <w:right w:val="none" w:sz="0" w:space="0" w:color="auto"/>
              </w:divBdr>
              <w:divsChild>
                <w:div w:id="787822142">
                  <w:marLeft w:val="0"/>
                  <w:marRight w:val="0"/>
                  <w:marTop w:val="0"/>
                  <w:marBottom w:val="0"/>
                  <w:divBdr>
                    <w:top w:val="none" w:sz="0" w:space="0" w:color="auto"/>
                    <w:left w:val="none" w:sz="0" w:space="0" w:color="auto"/>
                    <w:bottom w:val="none" w:sz="0" w:space="0" w:color="auto"/>
                    <w:right w:val="none" w:sz="0" w:space="0" w:color="auto"/>
                  </w:divBdr>
                  <w:divsChild>
                    <w:div w:id="2026517288">
                      <w:marLeft w:val="0"/>
                      <w:marRight w:val="0"/>
                      <w:marTop w:val="0"/>
                      <w:marBottom w:val="0"/>
                      <w:divBdr>
                        <w:top w:val="none" w:sz="0" w:space="0" w:color="auto"/>
                        <w:left w:val="none" w:sz="0" w:space="0" w:color="auto"/>
                        <w:bottom w:val="none" w:sz="0" w:space="0" w:color="auto"/>
                        <w:right w:val="none" w:sz="0" w:space="0" w:color="auto"/>
                      </w:divBdr>
                      <w:divsChild>
                        <w:div w:id="753361366">
                          <w:marLeft w:val="0"/>
                          <w:marRight w:val="0"/>
                          <w:marTop w:val="0"/>
                          <w:marBottom w:val="0"/>
                          <w:divBdr>
                            <w:top w:val="none" w:sz="0" w:space="0" w:color="auto"/>
                            <w:left w:val="none" w:sz="0" w:space="0" w:color="auto"/>
                            <w:bottom w:val="none" w:sz="0" w:space="0" w:color="auto"/>
                            <w:right w:val="none" w:sz="0" w:space="0" w:color="auto"/>
                          </w:divBdr>
                          <w:divsChild>
                            <w:div w:id="137843339">
                              <w:marLeft w:val="0"/>
                              <w:marRight w:val="0"/>
                              <w:marTop w:val="0"/>
                              <w:marBottom w:val="0"/>
                              <w:divBdr>
                                <w:top w:val="none" w:sz="0" w:space="0" w:color="auto"/>
                                <w:left w:val="none" w:sz="0" w:space="0" w:color="auto"/>
                                <w:bottom w:val="none" w:sz="0" w:space="0" w:color="auto"/>
                                <w:right w:val="none" w:sz="0" w:space="0" w:color="auto"/>
                              </w:divBdr>
                              <w:divsChild>
                                <w:div w:id="21118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2022-09-21T03:00:00Z</dcterms:created>
  <dcterms:modified xsi:type="dcterms:W3CDTF">2022-09-21T03:02:00Z</dcterms:modified>
</cp:coreProperties>
</file>