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99" w:rsidRPr="002F78CF" w:rsidRDefault="00122199" w:rsidP="00835DBE">
      <w:pPr>
        <w:pStyle w:val="a6"/>
        <w:widowControl w:val="0"/>
        <w:spacing w:before="0" w:beforeAutospacing="0" w:after="0" w:afterAutospacing="0" w:line="600" w:lineRule="exact"/>
        <w:jc w:val="both"/>
        <w:rPr>
          <w:rFonts w:ascii="方正大标宋简体" w:eastAsia="方正大标宋简体" w:hAnsi="黑体"/>
          <w:color w:val="000000"/>
          <w:sz w:val="44"/>
          <w:szCs w:val="44"/>
        </w:rPr>
      </w:pPr>
    </w:p>
    <w:p w:rsidR="00DE3F40" w:rsidRPr="00835DBE" w:rsidRDefault="006C4D7F" w:rsidP="00835DBE">
      <w:pPr>
        <w:pStyle w:val="a6"/>
        <w:widowControl w:val="0"/>
        <w:spacing w:before="0" w:beforeAutospacing="0" w:after="0" w:afterAutospacing="0" w:line="600" w:lineRule="exact"/>
        <w:jc w:val="center"/>
        <w:rPr>
          <w:rFonts w:ascii="Times New Roman" w:eastAsia="方正大标宋简体" w:hAnsi="Times New Roman" w:cs="Times New Roman"/>
          <w:color w:val="000000"/>
          <w:sz w:val="44"/>
          <w:szCs w:val="44"/>
        </w:rPr>
      </w:pPr>
      <w:r>
        <w:rPr>
          <w:rFonts w:ascii="Times New Roman" w:eastAsia="方正大标宋简体" w:hAnsi="Times New Roman" w:cs="Times New Roman"/>
          <w:color w:val="000000"/>
          <w:sz w:val="44"/>
          <w:szCs w:val="44"/>
        </w:rPr>
        <w:t>北京证券交易所会员管理规则（试行）</w:t>
      </w:r>
      <w:bookmarkStart w:id="0" w:name="_Toc491347699"/>
    </w:p>
    <w:p w:rsidR="00765228" w:rsidRPr="00765228" w:rsidRDefault="006C4D7F" w:rsidP="00835DBE">
      <w:pPr>
        <w:pStyle w:val="1"/>
        <w:spacing w:before="240" w:after="240" w:line="600" w:lineRule="exact"/>
        <w:rPr>
          <w:b w:val="0"/>
          <w:sz w:val="32"/>
          <w:szCs w:val="32"/>
        </w:rPr>
      </w:pPr>
      <w:bookmarkStart w:id="1" w:name="_Toc72081399"/>
      <w:bookmarkStart w:id="2" w:name="_Toc72054873"/>
      <w:bookmarkStart w:id="3" w:name="_Toc72082119"/>
      <w:r>
        <w:rPr>
          <w:b w:val="0"/>
          <w:sz w:val="32"/>
          <w:szCs w:val="32"/>
        </w:rPr>
        <w:t>第一章</w:t>
      </w:r>
      <w:r>
        <w:rPr>
          <w:b w:val="0"/>
          <w:sz w:val="32"/>
          <w:szCs w:val="32"/>
        </w:rPr>
        <w:t xml:space="preserve">  </w:t>
      </w:r>
      <w:r>
        <w:rPr>
          <w:b w:val="0"/>
          <w:sz w:val="32"/>
          <w:szCs w:val="32"/>
        </w:rPr>
        <w:t>总</w:t>
      </w:r>
      <w:r>
        <w:rPr>
          <w:b w:val="0"/>
          <w:sz w:val="32"/>
          <w:szCs w:val="32"/>
        </w:rPr>
        <w:t xml:space="preserve">  </w:t>
      </w:r>
      <w:r>
        <w:rPr>
          <w:b w:val="0"/>
          <w:sz w:val="32"/>
          <w:szCs w:val="32"/>
        </w:rPr>
        <w:t>则</w:t>
      </w:r>
      <w:bookmarkEnd w:id="0"/>
      <w:bookmarkEnd w:id="1"/>
      <w:bookmarkEnd w:id="2"/>
      <w:bookmarkEnd w:id="3"/>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Pr>
          <w:rFonts w:ascii="Times New Roman" w:eastAsia="仿宋_GB2312" w:hAnsi="Times New Roman" w:cs="Times New Roman"/>
          <w:color w:val="000000"/>
          <w:sz w:val="32"/>
          <w:szCs w:val="32"/>
        </w:rPr>
        <w:t>1.1</w:t>
      </w:r>
      <w:r w:rsidR="00765228">
        <w:rPr>
          <w:rFonts w:ascii="Times New Roman" w:eastAsia="仿宋_GB2312" w:hAnsi="Times New Roman" w:cs="Times New Roman" w:hint="eastAsia"/>
          <w:color w:val="000000"/>
          <w:sz w:val="32"/>
          <w:szCs w:val="32"/>
        </w:rPr>
        <w:t xml:space="preserve"> </w:t>
      </w:r>
      <w:r w:rsidRPr="00765228">
        <w:rPr>
          <w:rFonts w:ascii="Times New Roman" w:eastAsia="仿宋" w:hAnsi="Times New Roman" w:cs="Times New Roman"/>
          <w:color w:val="000000"/>
          <w:sz w:val="32"/>
          <w:szCs w:val="32"/>
        </w:rPr>
        <w:t>为了规范北京证券交易所（以下简称本所）会员证券交易及其相关业务活动，保障交易安全，维护证券市场秩序，保护投资者合法权益，促进证券市场健康稳定发展，根据《中华人民共和国证券法》《证券公司监督管理条例》《证券公司风险处置条例》《证券交易所管理办法》等法律法规、部门规章和规范性文件，制定本规则。</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1.2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本规则适用于本所普通会员（以下简称会员）的管理。特别会员的管理规则，由本所另行制定。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1.3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会员开展本所证券交易及相关业务，应当遵守法律、行政法规、部门规章、规范性文件</w:t>
      </w:r>
      <w:r w:rsidR="004D78E2">
        <w:rPr>
          <w:rFonts w:ascii="Times New Roman" w:eastAsia="仿宋" w:hAnsi="Times New Roman" w:cs="Times New Roman" w:hint="eastAsia"/>
          <w:color w:val="000000"/>
          <w:sz w:val="32"/>
          <w:szCs w:val="32"/>
        </w:rPr>
        <w:t>和</w:t>
      </w:r>
      <w:r w:rsidRPr="00765228">
        <w:rPr>
          <w:rFonts w:ascii="Times New Roman" w:eastAsia="仿宋" w:hAnsi="Times New Roman" w:cs="Times New Roman"/>
          <w:color w:val="000000"/>
          <w:sz w:val="32"/>
          <w:szCs w:val="32"/>
        </w:rPr>
        <w:t>本所业务规则，诚实守信，规范运作，接受本所自律管理。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1.4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会员董事、监事、高级管理人员、会员代表、会员业务联络人及其他相关人员应当遵守法律、行政法规、部门规章、规范性文件和本所业务规则，忠实、勤勉地履行职责，接受本所自律管理。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1.5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本所依据本规则及本所其他业务规则，对会员及其董事、监事、高级管理人员、会员代表、会员业务联络人及其他相关人员进行自律管理。</w:t>
      </w:r>
    </w:p>
    <w:p w:rsidR="00765228"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1.6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会员开展本所证券交易及相关业务，应当对自身及</w:t>
      </w:r>
      <w:r w:rsidRPr="00765228">
        <w:rPr>
          <w:rFonts w:ascii="Times New Roman" w:eastAsia="仿宋" w:hAnsi="Times New Roman" w:cs="Times New Roman"/>
          <w:color w:val="000000"/>
          <w:sz w:val="32"/>
          <w:szCs w:val="32"/>
        </w:rPr>
        <w:lastRenderedPageBreak/>
        <w:t>客户交易行为进行管理，防范违规交易行为和交易异常风险，维护证券市场秩序。</w:t>
      </w:r>
      <w:bookmarkStart w:id="4" w:name="_Toc491347700"/>
    </w:p>
    <w:p w:rsidR="00765228" w:rsidRPr="00765228" w:rsidRDefault="006C4D7F" w:rsidP="00835DBE">
      <w:pPr>
        <w:pStyle w:val="1"/>
        <w:spacing w:before="240" w:after="240" w:line="600" w:lineRule="exact"/>
        <w:rPr>
          <w:b w:val="0"/>
          <w:sz w:val="32"/>
          <w:szCs w:val="32"/>
        </w:rPr>
      </w:pPr>
      <w:bookmarkStart w:id="5" w:name="_Toc72082120"/>
      <w:bookmarkStart w:id="6" w:name="_Toc72081400"/>
      <w:bookmarkStart w:id="7" w:name="_Toc72054874"/>
      <w:r>
        <w:rPr>
          <w:b w:val="0"/>
          <w:sz w:val="32"/>
          <w:szCs w:val="32"/>
        </w:rPr>
        <w:t>第二章</w:t>
      </w:r>
      <w:r>
        <w:rPr>
          <w:b w:val="0"/>
          <w:sz w:val="32"/>
          <w:szCs w:val="32"/>
        </w:rPr>
        <w:t xml:space="preserve">  </w:t>
      </w:r>
      <w:r>
        <w:rPr>
          <w:b w:val="0"/>
          <w:sz w:val="32"/>
          <w:szCs w:val="32"/>
        </w:rPr>
        <w:t>会员资格管理</w:t>
      </w:r>
      <w:bookmarkEnd w:id="4"/>
      <w:bookmarkEnd w:id="5"/>
      <w:bookmarkEnd w:id="6"/>
      <w:bookmarkEnd w:id="7"/>
    </w:p>
    <w:p w:rsidR="00765228" w:rsidRPr="006E17F3" w:rsidRDefault="006C4D7F" w:rsidP="00835DBE">
      <w:pPr>
        <w:pStyle w:val="1"/>
        <w:spacing w:before="240" w:after="240" w:line="600" w:lineRule="exact"/>
        <w:rPr>
          <w:rFonts w:ascii="楷体" w:eastAsia="楷体" w:hAnsi="楷体"/>
          <w:b w:val="0"/>
          <w:sz w:val="32"/>
          <w:szCs w:val="32"/>
        </w:rPr>
      </w:pPr>
      <w:bookmarkStart w:id="8" w:name="_Toc72082121"/>
      <w:r w:rsidRPr="006E17F3">
        <w:rPr>
          <w:rFonts w:ascii="楷体" w:eastAsia="楷体" w:hAnsi="楷体"/>
          <w:b w:val="0"/>
          <w:sz w:val="32"/>
          <w:szCs w:val="32"/>
        </w:rPr>
        <w:t>第一节  会员资格取得、变更及注销</w:t>
      </w:r>
      <w:bookmarkEnd w:id="8"/>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具备下列条件的证券经营机构可申请成为本所会员：</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（一）取得经营证券期货业务许可证，经营证券经纪、证券承销与保荐业务或中国证券监督管理委员会（以下简称中国证监会）认可的其他证券业务；</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（二）依法取得登记机关颁发的企业法人营业执照；</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（三）具有良好的信誉和经营业绩；</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（四）组织机构和业务人员符合中国证监会和本所规定的条件；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（五）具有完善的风险管理与内部控制制度；</w:t>
      </w:r>
      <w:r w:rsidRPr="00765228">
        <w:rPr>
          <w:rFonts w:ascii="Times New Roman" w:eastAsia="仿宋" w:hAnsi="Times New Roman" w:cs="Times New Roman"/>
          <w:color w:val="000000"/>
          <w:sz w:val="32"/>
          <w:szCs w:val="32"/>
        </w:rPr>
        <w:t xml:space="preserve"> </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（六）具有合格的经营场所、业务设施和技术系统；</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（七）遵守本所业务规则，按规定交纳相关费用；</w:t>
      </w:r>
      <w:r w:rsidRPr="00765228">
        <w:rPr>
          <w:rFonts w:ascii="Times New Roman" w:eastAsia="仿宋" w:hAnsi="Times New Roman" w:cs="Times New Roman"/>
          <w:color w:val="000000"/>
          <w:sz w:val="32"/>
          <w:szCs w:val="32"/>
        </w:rPr>
        <w:t xml:space="preserve"> </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（八）中国证监会及本所规定的其他条件。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证券经营机构向本所申请会员资格，应当提交下列文件：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（一）申请书；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（二）公司设立的批准文件；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（三）公司基本情况申报表；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（四）《经营证券期货业务许可证》（副本）复印件；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（五）《企业法人营业执照》（副本）复印件；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（六）最近年度经审计财务报表和净资本计算表；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（七）公司章程；</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（八）本所要求提交的其他文件。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证券经营机构应当按照本所规定的方式和要求，提交上述文件。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证券经营机构申请文件齐备的，本所予以受理，并自受理之日起</w:t>
      </w:r>
      <w:r w:rsidRPr="00765228">
        <w:rPr>
          <w:rFonts w:ascii="Times New Roman" w:eastAsia="仿宋" w:hAnsi="Times New Roman" w:cs="Times New Roman"/>
          <w:color w:val="000000"/>
          <w:sz w:val="32"/>
          <w:szCs w:val="32"/>
        </w:rPr>
        <w:t>10</w:t>
      </w:r>
      <w:r w:rsidRPr="00765228">
        <w:rPr>
          <w:rFonts w:ascii="Times New Roman" w:eastAsia="仿宋" w:hAnsi="Times New Roman" w:cs="Times New Roman"/>
          <w:color w:val="000000"/>
          <w:sz w:val="32"/>
          <w:szCs w:val="32"/>
        </w:rPr>
        <w:t>个交易日内</w:t>
      </w:r>
      <w:proofErr w:type="gramStart"/>
      <w:r w:rsidRPr="00765228">
        <w:rPr>
          <w:rFonts w:ascii="Times New Roman" w:eastAsia="仿宋" w:hAnsi="Times New Roman" w:cs="Times New Roman"/>
          <w:color w:val="000000"/>
          <w:sz w:val="32"/>
          <w:szCs w:val="32"/>
        </w:rPr>
        <w:t>作出</w:t>
      </w:r>
      <w:proofErr w:type="gramEnd"/>
      <w:r w:rsidRPr="00765228">
        <w:rPr>
          <w:rFonts w:ascii="Times New Roman" w:eastAsia="仿宋" w:hAnsi="Times New Roman" w:cs="Times New Roman"/>
          <w:color w:val="000000"/>
          <w:sz w:val="32"/>
          <w:szCs w:val="32"/>
        </w:rPr>
        <w:t>是否同意其成为会员的决定。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本所同意的，与该机构签订《证券经营机构参与北京证券交易所业务协议书》（以下简称《协议书》），向其颁发会员资格证书，并予以公告，同时自同意之日起</w:t>
      </w:r>
      <w:r w:rsidRPr="00765228">
        <w:rPr>
          <w:rFonts w:ascii="Times New Roman" w:eastAsia="仿宋" w:hAnsi="Times New Roman" w:cs="Times New Roman"/>
          <w:color w:val="000000"/>
          <w:sz w:val="32"/>
          <w:szCs w:val="32"/>
        </w:rPr>
        <w:t>5</w:t>
      </w:r>
      <w:r w:rsidRPr="00765228">
        <w:rPr>
          <w:rFonts w:ascii="Times New Roman" w:eastAsia="仿宋" w:hAnsi="Times New Roman" w:cs="Times New Roman"/>
          <w:color w:val="000000"/>
          <w:sz w:val="32"/>
          <w:szCs w:val="32"/>
        </w:rPr>
        <w:t>个工作日内报告中国证监会。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会员申请名称变更登记，应当向本所提交下列文件：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（一）申请书；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（二）机构名称变更的批准文件；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（三）变更后的《经营证券期货业务许可证》（副本）复印件；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（四）变更后的《企业法人营业执照》（副本）复印件；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（五）变更后的公司章程；</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（六）会员资格证书；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（七）本所要求提交的其他文件。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会员名称变更申请文件齐备的，本所予以受理，自受理之日起</w:t>
      </w:r>
      <w:r w:rsidRPr="00765228">
        <w:rPr>
          <w:rFonts w:ascii="Times New Roman" w:eastAsia="仿宋" w:hAnsi="Times New Roman" w:cs="Times New Roman"/>
          <w:color w:val="000000"/>
          <w:sz w:val="32"/>
          <w:szCs w:val="32"/>
        </w:rPr>
        <w:t>5</w:t>
      </w:r>
      <w:r w:rsidRPr="00765228">
        <w:rPr>
          <w:rFonts w:ascii="Times New Roman" w:eastAsia="仿宋" w:hAnsi="Times New Roman" w:cs="Times New Roman"/>
          <w:color w:val="000000"/>
          <w:sz w:val="32"/>
          <w:szCs w:val="32"/>
        </w:rPr>
        <w:t>个交易</w:t>
      </w:r>
      <w:proofErr w:type="gramStart"/>
      <w:r w:rsidRPr="00765228">
        <w:rPr>
          <w:rFonts w:ascii="Times New Roman" w:eastAsia="仿宋" w:hAnsi="Times New Roman" w:cs="Times New Roman"/>
          <w:color w:val="000000"/>
          <w:sz w:val="32"/>
          <w:szCs w:val="32"/>
        </w:rPr>
        <w:t>日内与</w:t>
      </w:r>
      <w:proofErr w:type="gramEnd"/>
      <w:r w:rsidRPr="00765228">
        <w:rPr>
          <w:rFonts w:ascii="Times New Roman" w:eastAsia="仿宋" w:hAnsi="Times New Roman" w:cs="Times New Roman"/>
          <w:color w:val="000000"/>
          <w:sz w:val="32"/>
          <w:szCs w:val="32"/>
        </w:rPr>
        <w:t>会员重新签订《协议书》，换发会员资格证书，并予以公告。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会员有下列情形之一的，应当向本所申请终止会员资格：</w:t>
      </w:r>
      <w:r w:rsidRPr="00765228">
        <w:rPr>
          <w:rFonts w:ascii="Times New Roman" w:eastAsia="仿宋" w:hAnsi="Times New Roman" w:cs="Times New Roman"/>
          <w:color w:val="000000"/>
          <w:sz w:val="32"/>
          <w:szCs w:val="32"/>
        </w:rPr>
        <w:t xml:space="preserve"> </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（一）被中国证监会依法撤销相关证券业务许可，不再进入本所市场开展相关业务的；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（二）被中国证监会依法撤销、责令关闭的；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（三）被中国证监会批准解散的；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（四）不能继续履行正常的交易及交</w:t>
      </w:r>
      <w:proofErr w:type="gramStart"/>
      <w:r w:rsidRPr="00765228">
        <w:rPr>
          <w:rFonts w:ascii="Times New Roman" w:eastAsia="仿宋" w:hAnsi="Times New Roman" w:cs="Times New Roman"/>
          <w:color w:val="000000"/>
          <w:sz w:val="32"/>
          <w:szCs w:val="32"/>
        </w:rPr>
        <w:t>收义务</w:t>
      </w:r>
      <w:proofErr w:type="gramEnd"/>
      <w:r w:rsidRPr="00765228">
        <w:rPr>
          <w:rFonts w:ascii="Times New Roman" w:eastAsia="仿宋" w:hAnsi="Times New Roman" w:cs="Times New Roman"/>
          <w:color w:val="000000"/>
          <w:sz w:val="32"/>
          <w:szCs w:val="32"/>
        </w:rPr>
        <w:t>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（五）会员决定终止其会员资格的；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（六）其他不符合本所规定的会员条件的。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会员发生前款第一项至第三项情形时，应当自收到中国证监会决定之日起</w:t>
      </w:r>
      <w:r w:rsidRPr="00765228">
        <w:rPr>
          <w:rFonts w:ascii="Times New Roman" w:eastAsia="仿宋" w:hAnsi="Times New Roman" w:cs="Times New Roman"/>
          <w:color w:val="000000"/>
          <w:sz w:val="32"/>
          <w:szCs w:val="32"/>
        </w:rPr>
        <w:t>30</w:t>
      </w:r>
      <w:r w:rsidRPr="00765228">
        <w:rPr>
          <w:rFonts w:ascii="Times New Roman" w:eastAsia="仿宋" w:hAnsi="Times New Roman" w:cs="Times New Roman"/>
          <w:color w:val="000000"/>
          <w:sz w:val="32"/>
          <w:szCs w:val="32"/>
        </w:rPr>
        <w:t>个交易日内向本所申请终止会员资格。</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会员申请终止会员资格，应当向本所提交下列文件：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（一）申请书；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（二）有关批准文件或者决定书；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（三）会员资格证书；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（四）业务处置方案；</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（五）本所要求提交的其他文件。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2.1.8</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会员申请终止会员资格文件齐备的，本所予以受理，并自受理之日起</w:t>
      </w:r>
      <w:r w:rsidRPr="00765228">
        <w:rPr>
          <w:rFonts w:ascii="Times New Roman" w:eastAsia="仿宋" w:hAnsi="Times New Roman" w:cs="Times New Roman"/>
          <w:color w:val="000000"/>
          <w:sz w:val="32"/>
          <w:szCs w:val="32"/>
        </w:rPr>
        <w:t>10</w:t>
      </w:r>
      <w:r w:rsidRPr="00765228">
        <w:rPr>
          <w:rFonts w:ascii="Times New Roman" w:eastAsia="仿宋" w:hAnsi="Times New Roman" w:cs="Times New Roman"/>
          <w:color w:val="000000"/>
          <w:sz w:val="32"/>
          <w:szCs w:val="32"/>
        </w:rPr>
        <w:t>个交易日内</w:t>
      </w:r>
      <w:proofErr w:type="gramStart"/>
      <w:r w:rsidRPr="00765228">
        <w:rPr>
          <w:rFonts w:ascii="Times New Roman" w:eastAsia="仿宋" w:hAnsi="Times New Roman" w:cs="Times New Roman"/>
          <w:color w:val="000000"/>
          <w:sz w:val="32"/>
          <w:szCs w:val="32"/>
        </w:rPr>
        <w:t>作出</w:t>
      </w:r>
      <w:proofErr w:type="gramEnd"/>
      <w:r w:rsidRPr="00765228">
        <w:rPr>
          <w:rFonts w:ascii="Times New Roman" w:eastAsia="仿宋" w:hAnsi="Times New Roman" w:cs="Times New Roman"/>
          <w:color w:val="000000"/>
          <w:sz w:val="32"/>
          <w:szCs w:val="32"/>
        </w:rPr>
        <w:t>是否同意终止的决定。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2.1.9</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会员未按本</w:t>
      </w:r>
      <w:proofErr w:type="gramStart"/>
      <w:r w:rsidRPr="00765228">
        <w:rPr>
          <w:rFonts w:ascii="Times New Roman" w:eastAsia="仿宋" w:hAnsi="Times New Roman" w:cs="Times New Roman"/>
          <w:color w:val="000000"/>
          <w:sz w:val="32"/>
          <w:szCs w:val="32"/>
        </w:rPr>
        <w:t>规则第</w:t>
      </w:r>
      <w:r w:rsidRPr="00765228">
        <w:rPr>
          <w:rFonts w:ascii="Times New Roman" w:eastAsia="仿宋" w:hAnsi="Times New Roman" w:cs="Times New Roman"/>
          <w:color w:val="000000"/>
          <w:sz w:val="32"/>
          <w:szCs w:val="32"/>
        </w:rPr>
        <w:t>2</w:t>
      </w:r>
      <w:proofErr w:type="gramEnd"/>
      <w:r w:rsidRPr="00765228">
        <w:rPr>
          <w:rFonts w:ascii="Times New Roman" w:eastAsia="仿宋" w:hAnsi="Times New Roman" w:cs="Times New Roman"/>
          <w:color w:val="000000"/>
          <w:sz w:val="32"/>
          <w:szCs w:val="32"/>
        </w:rPr>
        <w:t>.1.6</w:t>
      </w:r>
      <w:r w:rsidRPr="00765228">
        <w:rPr>
          <w:rFonts w:ascii="Times New Roman" w:eastAsia="仿宋" w:hAnsi="Times New Roman" w:cs="Times New Roman"/>
          <w:color w:val="000000"/>
          <w:sz w:val="32"/>
          <w:szCs w:val="32"/>
        </w:rPr>
        <w:t>条规定申请终止会员资格的，本所可以决定取消其会员资格，并书面通知该会员。</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会员对上述决定有异议的，可自收到通知之日起</w:t>
      </w:r>
      <w:r w:rsidRPr="00765228">
        <w:rPr>
          <w:rFonts w:ascii="Times New Roman" w:eastAsia="仿宋" w:hAnsi="Times New Roman" w:cs="Times New Roman"/>
          <w:color w:val="000000"/>
          <w:sz w:val="32"/>
          <w:szCs w:val="32"/>
        </w:rPr>
        <w:t>15</w:t>
      </w:r>
      <w:r w:rsidRPr="00765228">
        <w:rPr>
          <w:rFonts w:ascii="Times New Roman" w:eastAsia="仿宋" w:hAnsi="Times New Roman" w:cs="Times New Roman"/>
          <w:color w:val="000000"/>
          <w:sz w:val="32"/>
          <w:szCs w:val="32"/>
        </w:rPr>
        <w:t>个交易日内向本所申请复核。</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2.1.10</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本所同意终止会员资格申请或者决定取消会员资格的，注销其会员资格，并予以公告，同时自同意或决定之日起</w:t>
      </w:r>
      <w:r w:rsidRPr="00765228">
        <w:rPr>
          <w:rFonts w:ascii="Times New Roman" w:eastAsia="仿宋" w:hAnsi="Times New Roman" w:cs="Times New Roman"/>
          <w:color w:val="000000"/>
          <w:sz w:val="32"/>
          <w:szCs w:val="32"/>
        </w:rPr>
        <w:t>5</w:t>
      </w:r>
      <w:r w:rsidRPr="00765228">
        <w:rPr>
          <w:rFonts w:ascii="Times New Roman" w:eastAsia="仿宋" w:hAnsi="Times New Roman" w:cs="Times New Roman"/>
          <w:color w:val="000000"/>
          <w:sz w:val="32"/>
          <w:szCs w:val="32"/>
        </w:rPr>
        <w:t>个工作日内报告中国证监会。会员资格证书自注销之日起失效。</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2.1.11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本所注销会员资格的，相关机构应当及时办理相关手续，交清费用。</w:t>
      </w:r>
    </w:p>
    <w:p w:rsidR="00765228"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2.1.12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会员被依法指定托管、接管的，托管方或其他相关机构对所托管的证券交易业务行使经营管理权时，应当确保会员遵守本所规定，承担相关义务。</w:t>
      </w:r>
    </w:p>
    <w:p w:rsidR="00765228" w:rsidRPr="006E17F3" w:rsidRDefault="006C4D7F" w:rsidP="00F45D80">
      <w:pPr>
        <w:pStyle w:val="2"/>
        <w:spacing w:before="240" w:after="240" w:line="600" w:lineRule="exact"/>
        <w:rPr>
          <w:rFonts w:ascii="楷体" w:eastAsia="楷体" w:hAnsi="楷体"/>
          <w:b w:val="0"/>
          <w:sz w:val="32"/>
        </w:rPr>
      </w:pPr>
      <w:bookmarkStart w:id="9" w:name="_Toc72082122"/>
      <w:r w:rsidRPr="006E17F3">
        <w:rPr>
          <w:rFonts w:ascii="楷体" w:eastAsia="楷体" w:hAnsi="楷体"/>
          <w:b w:val="0"/>
          <w:sz w:val="32"/>
        </w:rPr>
        <w:t>第二节  交易单元与交易权限管理</w:t>
      </w:r>
      <w:bookmarkEnd w:id="9"/>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2.2.1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会员享有进入本所市场进行证券交易的权利，取得会员资格后，成为本所交易参与人。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会员应当通过在本所开设的交易单元参与证券交易。</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2.2.2</w:t>
      </w:r>
      <w:r w:rsidR="002F78CF" w:rsidRPr="00765228">
        <w:rPr>
          <w:rFonts w:ascii="Times New Roman" w:eastAsia="仿宋" w:hAnsi="Times New Roman" w:cs="Times New Roman"/>
          <w:color w:val="000000"/>
          <w:sz w:val="32"/>
          <w:szCs w:val="32"/>
        </w:rPr>
        <w:t xml:space="preserve"> </w:t>
      </w:r>
      <w:r w:rsidR="00902C61">
        <w:rPr>
          <w:rFonts w:ascii="Times New Roman" w:eastAsia="仿宋" w:hAnsi="Times New Roman" w:cs="Times New Roman"/>
          <w:color w:val="000000"/>
          <w:sz w:val="32"/>
          <w:szCs w:val="32"/>
        </w:rPr>
        <w:t>本所根据会员的申请和业务范围，为其</w:t>
      </w:r>
      <w:r w:rsidR="00902C61">
        <w:rPr>
          <w:rFonts w:ascii="Times New Roman" w:eastAsia="仿宋" w:hAnsi="Times New Roman" w:cs="Times New Roman" w:hint="eastAsia"/>
          <w:color w:val="000000"/>
          <w:sz w:val="32"/>
          <w:szCs w:val="32"/>
        </w:rPr>
        <w:t>开</w:t>
      </w:r>
      <w:r w:rsidR="00902C61">
        <w:rPr>
          <w:rFonts w:ascii="Times New Roman" w:eastAsia="仿宋" w:hAnsi="Times New Roman" w:cs="Times New Roman"/>
          <w:color w:val="000000"/>
          <w:sz w:val="32"/>
          <w:szCs w:val="32"/>
        </w:rPr>
        <w:t>设</w:t>
      </w:r>
      <w:r w:rsidRPr="00765228">
        <w:rPr>
          <w:rFonts w:ascii="Times New Roman" w:eastAsia="仿宋" w:hAnsi="Times New Roman" w:cs="Times New Roman"/>
          <w:color w:val="000000"/>
          <w:sz w:val="32"/>
          <w:szCs w:val="32"/>
        </w:rPr>
        <w:t>的交易单元设定下列交易或业务权限：</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（一）参与不同类别证券品种的交易；</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（二）参与不同类型的交易申报；</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（三）其他交易或业务权限。</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2.2.3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本所可根据会员的风险承受能力、技术系统、内部控制、业务范围变化及遵守本所业务规则的情况等，调整或取消相关交易或业务权限。</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2.2.4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会员不得转让交易单元。经本所同意，会员可将交易单元以本所认可的方式提供给他人使用。会员将交易单元提供给他人使用的，应当切实加强交易单元管理，要求使用人严格遵守交易单元使用相关规定，合法合</w:t>
      </w:r>
      <w:proofErr w:type="gramStart"/>
      <w:r w:rsidRPr="00765228">
        <w:rPr>
          <w:rFonts w:ascii="Times New Roman" w:eastAsia="仿宋" w:hAnsi="Times New Roman" w:cs="Times New Roman"/>
          <w:color w:val="000000"/>
          <w:sz w:val="32"/>
          <w:szCs w:val="32"/>
        </w:rPr>
        <w:t>规</w:t>
      </w:r>
      <w:proofErr w:type="gramEnd"/>
      <w:r w:rsidRPr="00765228">
        <w:rPr>
          <w:rFonts w:ascii="Times New Roman" w:eastAsia="仿宋" w:hAnsi="Times New Roman" w:cs="Times New Roman"/>
          <w:color w:val="000000"/>
          <w:sz w:val="32"/>
          <w:szCs w:val="32"/>
        </w:rPr>
        <w:t>参与交易。</w:t>
      </w:r>
    </w:p>
    <w:p w:rsidR="00765228"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2.2.5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交易单元和交易权限等管理细则由本所另行规定。</w:t>
      </w:r>
    </w:p>
    <w:p w:rsidR="00765228" w:rsidRPr="006E17F3" w:rsidRDefault="006C4D7F" w:rsidP="00F45D80">
      <w:pPr>
        <w:pStyle w:val="2"/>
        <w:spacing w:before="240" w:after="240" w:line="600" w:lineRule="exact"/>
        <w:rPr>
          <w:rFonts w:ascii="楷体" w:eastAsia="楷体" w:hAnsi="楷体"/>
          <w:b w:val="0"/>
          <w:sz w:val="32"/>
        </w:rPr>
      </w:pPr>
      <w:bookmarkStart w:id="10" w:name="_Toc72082123"/>
      <w:r w:rsidRPr="006E17F3">
        <w:rPr>
          <w:rFonts w:ascii="楷体" w:eastAsia="楷体" w:hAnsi="楷体"/>
          <w:b w:val="0"/>
          <w:sz w:val="32"/>
        </w:rPr>
        <w:t>第三节  会员代表和会员业务联络人</w:t>
      </w:r>
      <w:bookmarkEnd w:id="10"/>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2.3.1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会员应当设会员代表一名，代表会员与本所进行沟通，负责组织、协调会员与本所的各项业务往来。</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会员代表由会员高级管理人员担任。</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会员应当为会员代表履行职责提供便利条件，会员董事、监事、高级管理人员及相关人员应当配合会员代表的工作。</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2.3.2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会员应当设会员业务联络人若干名。</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会员业务联络人根据会员代表授权，履行下列职责：</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（一）及时、准确、完整地接收本所发布的各</w:t>
      </w:r>
      <w:proofErr w:type="gramStart"/>
      <w:r w:rsidRPr="00765228">
        <w:rPr>
          <w:rFonts w:ascii="Times New Roman" w:eastAsia="仿宋" w:hAnsi="Times New Roman" w:cs="Times New Roman"/>
          <w:color w:val="000000"/>
          <w:sz w:val="32"/>
          <w:szCs w:val="32"/>
        </w:rPr>
        <w:t>类通知</w:t>
      </w:r>
      <w:proofErr w:type="gramEnd"/>
      <w:r w:rsidRPr="00765228">
        <w:rPr>
          <w:rFonts w:ascii="Times New Roman" w:eastAsia="仿宋" w:hAnsi="Times New Roman" w:cs="Times New Roman"/>
          <w:color w:val="000000"/>
          <w:sz w:val="32"/>
          <w:szCs w:val="32"/>
        </w:rPr>
        <w:t>和信息，并按规定提交本所要求的文件、资料；</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（二）办理会员资格、交易单元、交易权限管理等业务；</w:t>
      </w:r>
      <w:r w:rsidRPr="00765228">
        <w:rPr>
          <w:rFonts w:ascii="Times New Roman" w:eastAsia="仿宋" w:hAnsi="Times New Roman" w:cs="Times New Roman"/>
          <w:color w:val="000000"/>
          <w:sz w:val="32"/>
          <w:szCs w:val="32"/>
        </w:rPr>
        <w:t xml:space="preserve"> </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（三）协调与本所相关的交易及相关系统的建设、改造及测试工作；</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（四）办理与本所相关的会员交易合</w:t>
      </w:r>
      <w:proofErr w:type="gramStart"/>
      <w:r w:rsidRPr="00765228">
        <w:rPr>
          <w:rFonts w:ascii="Times New Roman" w:eastAsia="仿宋" w:hAnsi="Times New Roman" w:cs="Times New Roman"/>
          <w:color w:val="000000"/>
          <w:sz w:val="32"/>
          <w:szCs w:val="32"/>
        </w:rPr>
        <w:t>规</w:t>
      </w:r>
      <w:proofErr w:type="gramEnd"/>
      <w:r w:rsidRPr="00765228">
        <w:rPr>
          <w:rFonts w:ascii="Times New Roman" w:eastAsia="仿宋" w:hAnsi="Times New Roman" w:cs="Times New Roman"/>
          <w:color w:val="000000"/>
          <w:sz w:val="32"/>
          <w:szCs w:val="32"/>
        </w:rPr>
        <w:t>管理、风险控制及客户管理、融资融券、投资者教育服务等业务；</w:t>
      </w:r>
      <w:r w:rsidRPr="00765228">
        <w:rPr>
          <w:rFonts w:ascii="Times New Roman" w:eastAsia="仿宋" w:hAnsi="Times New Roman" w:cs="Times New Roman"/>
          <w:color w:val="000000"/>
          <w:sz w:val="32"/>
          <w:szCs w:val="32"/>
        </w:rPr>
        <w:t xml:space="preserve"> </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（五）督促会员及时履行报告职责和公告义务；</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（六）本所要求履行的其他职责。</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 xml:space="preserve">2.3.3 </w:t>
      </w:r>
      <w:r w:rsidRPr="00765228">
        <w:rPr>
          <w:rFonts w:ascii="Times New Roman" w:eastAsia="仿宋" w:hAnsi="Times New Roman" w:cs="Times New Roman"/>
          <w:color w:val="000000"/>
          <w:sz w:val="32"/>
          <w:szCs w:val="32"/>
        </w:rPr>
        <w:t>会员代表、会员业务联络人由会员向本所推荐产生。会员应当向本所提交推荐会员代表和会员业务联络人的书面文件，并载明拟推荐人员的联络方式。</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本所自收到会员推荐文件之日起</w:t>
      </w:r>
      <w:r w:rsidRPr="00765228">
        <w:rPr>
          <w:rFonts w:ascii="Times New Roman" w:eastAsia="仿宋" w:hAnsi="Times New Roman" w:cs="Times New Roman"/>
          <w:color w:val="000000"/>
          <w:sz w:val="32"/>
          <w:szCs w:val="32"/>
        </w:rPr>
        <w:t>5</w:t>
      </w:r>
      <w:r w:rsidRPr="00765228">
        <w:rPr>
          <w:rFonts w:ascii="Times New Roman" w:eastAsia="仿宋" w:hAnsi="Times New Roman" w:cs="Times New Roman"/>
          <w:color w:val="000000"/>
          <w:sz w:val="32"/>
          <w:szCs w:val="32"/>
        </w:rPr>
        <w:t>个交易日内未提出异议的，视为同意。</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2.3.4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会员代表或者会员业务联络人出现下列情形之一的，会员应当立即予以更换并在</w:t>
      </w:r>
      <w:r w:rsidRPr="00765228">
        <w:rPr>
          <w:rFonts w:ascii="Times New Roman" w:eastAsia="仿宋" w:hAnsi="Times New Roman" w:cs="Times New Roman"/>
          <w:color w:val="000000"/>
          <w:sz w:val="32"/>
          <w:szCs w:val="32"/>
        </w:rPr>
        <w:t>5</w:t>
      </w:r>
      <w:r w:rsidRPr="00765228">
        <w:rPr>
          <w:rFonts w:ascii="Times New Roman" w:eastAsia="仿宋" w:hAnsi="Times New Roman" w:cs="Times New Roman"/>
          <w:color w:val="000000"/>
          <w:sz w:val="32"/>
          <w:szCs w:val="32"/>
        </w:rPr>
        <w:t>个交易日内向本所报告：</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（一）会员代表不再担任高级管理人员职务；</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（二）连续</w:t>
      </w:r>
      <w:r w:rsidR="00E10B91">
        <w:rPr>
          <w:rFonts w:ascii="Times New Roman" w:eastAsia="仿宋" w:hAnsi="Times New Roman" w:cs="Times New Roman" w:hint="eastAsia"/>
          <w:color w:val="000000"/>
          <w:sz w:val="32"/>
          <w:szCs w:val="32"/>
        </w:rPr>
        <w:t>3</w:t>
      </w:r>
      <w:r w:rsidRPr="00765228">
        <w:rPr>
          <w:rFonts w:ascii="Times New Roman" w:eastAsia="仿宋" w:hAnsi="Times New Roman" w:cs="Times New Roman"/>
          <w:color w:val="000000"/>
          <w:sz w:val="32"/>
          <w:szCs w:val="32"/>
        </w:rPr>
        <w:t>个月以上不能履行职责；</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（三）在履行职责时出现重大错误，产生严重后果的；</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（四）本所认为不适宜继续担任会员代表或者会员业务联络人的其他情形。</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会员对存在前款规定情形的会员代表或者会员业务联络人不予更换的，本所可以要求更换。</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会员更换会员代表或者会员业务联络人，应当按照本</w:t>
      </w:r>
      <w:proofErr w:type="gramStart"/>
      <w:r w:rsidRPr="00765228">
        <w:rPr>
          <w:rFonts w:ascii="Times New Roman" w:eastAsia="仿宋" w:hAnsi="Times New Roman" w:cs="Times New Roman"/>
          <w:color w:val="000000"/>
          <w:sz w:val="32"/>
          <w:szCs w:val="32"/>
        </w:rPr>
        <w:t>规则第</w:t>
      </w:r>
      <w:r w:rsidRPr="00765228">
        <w:rPr>
          <w:rFonts w:ascii="Times New Roman" w:eastAsia="仿宋" w:hAnsi="Times New Roman" w:cs="Times New Roman"/>
          <w:color w:val="000000"/>
          <w:sz w:val="32"/>
          <w:szCs w:val="32"/>
        </w:rPr>
        <w:t>2</w:t>
      </w:r>
      <w:proofErr w:type="gramEnd"/>
      <w:r w:rsidRPr="00765228">
        <w:rPr>
          <w:rFonts w:ascii="Times New Roman" w:eastAsia="仿宋" w:hAnsi="Times New Roman" w:cs="Times New Roman"/>
          <w:color w:val="000000"/>
          <w:sz w:val="32"/>
          <w:szCs w:val="32"/>
        </w:rPr>
        <w:t>.3.3</w:t>
      </w:r>
      <w:r w:rsidRPr="00765228">
        <w:rPr>
          <w:rFonts w:ascii="Times New Roman" w:eastAsia="仿宋" w:hAnsi="Times New Roman" w:cs="Times New Roman"/>
          <w:color w:val="000000"/>
          <w:sz w:val="32"/>
          <w:szCs w:val="32"/>
        </w:rPr>
        <w:t>条向本所提交推荐文件。</w:t>
      </w:r>
    </w:p>
    <w:p w:rsidR="00765228"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2.3.5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会员代表空缺期间，会员法定代表人或者其指定的其他高级管理人员应当履行会员代表职责并及时向本所报告，直至会员推荐新的会员代表。</w:t>
      </w:r>
    </w:p>
    <w:p w:rsidR="00765228" w:rsidRPr="006E17F3" w:rsidRDefault="006C4D7F" w:rsidP="00F45D80">
      <w:pPr>
        <w:pStyle w:val="2"/>
        <w:spacing w:before="240" w:after="240" w:line="600" w:lineRule="exact"/>
        <w:rPr>
          <w:rFonts w:ascii="楷体" w:eastAsia="楷体" w:hAnsi="楷体"/>
          <w:b w:val="0"/>
          <w:sz w:val="32"/>
        </w:rPr>
      </w:pPr>
      <w:bookmarkStart w:id="11" w:name="_Toc72082124"/>
      <w:r w:rsidRPr="006E17F3">
        <w:rPr>
          <w:rFonts w:ascii="楷体" w:eastAsia="楷体" w:hAnsi="楷体"/>
          <w:b w:val="0"/>
          <w:sz w:val="32"/>
        </w:rPr>
        <w:t>第四节  报告与公告</w:t>
      </w:r>
      <w:bookmarkEnd w:id="11"/>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2.4.1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会员应当按照本规则及本所其他业务规则的要求，及时履行相关报告义务。会员向本所报送的信息和资料应当真实、准确、完整。</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2.4.2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会员应当在每年</w:t>
      </w:r>
      <w:r w:rsidRPr="00765228">
        <w:rPr>
          <w:rFonts w:ascii="Times New Roman" w:eastAsia="仿宋" w:hAnsi="Times New Roman" w:cs="Times New Roman"/>
          <w:color w:val="000000"/>
          <w:sz w:val="32"/>
          <w:szCs w:val="32"/>
        </w:rPr>
        <w:t>4</w:t>
      </w:r>
      <w:r w:rsidRPr="00765228">
        <w:rPr>
          <w:rFonts w:ascii="Times New Roman" w:eastAsia="仿宋" w:hAnsi="Times New Roman" w:cs="Times New Roman"/>
          <w:color w:val="000000"/>
          <w:sz w:val="32"/>
          <w:szCs w:val="32"/>
        </w:rPr>
        <w:t>月</w:t>
      </w:r>
      <w:r w:rsidRPr="00765228">
        <w:rPr>
          <w:rFonts w:ascii="Times New Roman" w:eastAsia="仿宋" w:hAnsi="Times New Roman" w:cs="Times New Roman"/>
          <w:color w:val="000000"/>
          <w:sz w:val="32"/>
          <w:szCs w:val="32"/>
        </w:rPr>
        <w:t>30</w:t>
      </w:r>
      <w:r w:rsidRPr="00765228">
        <w:rPr>
          <w:rFonts w:ascii="Times New Roman" w:eastAsia="仿宋" w:hAnsi="Times New Roman" w:cs="Times New Roman"/>
          <w:color w:val="000000"/>
          <w:sz w:val="32"/>
          <w:szCs w:val="32"/>
        </w:rPr>
        <w:t>日前向本所报送上年度经审计财务报表和本所要求的年度报告材料。</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2.4.3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有下列情形之一的，会员应当自该情形发生之日起</w:t>
      </w:r>
      <w:r w:rsidRPr="00765228">
        <w:rPr>
          <w:rFonts w:ascii="Times New Roman" w:eastAsia="仿宋" w:hAnsi="Times New Roman" w:cs="Times New Roman"/>
          <w:color w:val="000000"/>
          <w:sz w:val="32"/>
          <w:szCs w:val="32"/>
        </w:rPr>
        <w:t>5</w:t>
      </w:r>
      <w:r w:rsidRPr="00765228">
        <w:rPr>
          <w:rFonts w:ascii="Times New Roman" w:eastAsia="仿宋" w:hAnsi="Times New Roman" w:cs="Times New Roman"/>
          <w:color w:val="000000"/>
          <w:sz w:val="32"/>
          <w:szCs w:val="32"/>
        </w:rPr>
        <w:t>个交易日内向本所报告</w:t>
      </w:r>
      <w:r w:rsidR="005C7FAF">
        <w:rPr>
          <w:rFonts w:ascii="Times New Roman" w:eastAsia="仿宋" w:hAnsi="Times New Roman" w:cs="Times New Roman" w:hint="eastAsia"/>
          <w:color w:val="000000"/>
          <w:sz w:val="32"/>
          <w:szCs w:val="32"/>
        </w:rPr>
        <w:t>：</w:t>
      </w:r>
      <w:r w:rsidRPr="00765228">
        <w:rPr>
          <w:rFonts w:ascii="Times New Roman" w:eastAsia="仿宋" w:hAnsi="Times New Roman" w:cs="Times New Roman"/>
          <w:color w:val="000000"/>
          <w:sz w:val="32"/>
          <w:szCs w:val="32"/>
        </w:rPr>
        <w:t xml:space="preserve"> </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（一）会员根据本规则第</w:t>
      </w:r>
      <w:r w:rsidRPr="00765228">
        <w:rPr>
          <w:rFonts w:ascii="Times New Roman" w:eastAsia="仿宋" w:hAnsi="Times New Roman" w:cs="Times New Roman"/>
          <w:color w:val="000000"/>
          <w:sz w:val="32"/>
          <w:szCs w:val="32"/>
        </w:rPr>
        <w:t>2.1.2</w:t>
      </w:r>
      <w:r w:rsidRPr="00765228">
        <w:rPr>
          <w:rFonts w:ascii="Times New Roman" w:eastAsia="仿宋" w:hAnsi="Times New Roman" w:cs="Times New Roman"/>
          <w:color w:val="000000"/>
          <w:sz w:val="32"/>
          <w:szCs w:val="32"/>
        </w:rPr>
        <w:t>条提交的相关文件所涉事项发生变更的</w:t>
      </w:r>
      <w:r w:rsidR="00CE0A19">
        <w:rPr>
          <w:rFonts w:ascii="Times New Roman" w:eastAsia="仿宋" w:hAnsi="Times New Roman" w:cs="Times New Roman" w:hint="eastAsia"/>
          <w:color w:val="000000"/>
          <w:sz w:val="32"/>
          <w:szCs w:val="32"/>
        </w:rPr>
        <w:t>，</w:t>
      </w:r>
      <w:r w:rsidR="007B1B4E">
        <w:rPr>
          <w:rFonts w:ascii="Times New Roman" w:eastAsia="仿宋" w:hAnsi="Times New Roman" w:cs="Times New Roman"/>
          <w:color w:val="000000"/>
          <w:sz w:val="32"/>
          <w:szCs w:val="32"/>
        </w:rPr>
        <w:t>第</w:t>
      </w:r>
      <w:r w:rsidR="00CE0A19">
        <w:rPr>
          <w:rFonts w:ascii="Times New Roman" w:eastAsia="仿宋" w:hAnsi="Times New Roman" w:cs="Times New Roman" w:hint="eastAsia"/>
          <w:color w:val="000000"/>
          <w:sz w:val="32"/>
          <w:szCs w:val="32"/>
        </w:rPr>
        <w:t>六项</w:t>
      </w:r>
      <w:r w:rsidR="00CE0A19">
        <w:rPr>
          <w:rFonts w:ascii="Times New Roman" w:eastAsia="仿宋" w:hAnsi="Times New Roman" w:cs="Times New Roman"/>
          <w:color w:val="000000"/>
          <w:sz w:val="32"/>
          <w:szCs w:val="32"/>
        </w:rPr>
        <w:t>除外</w:t>
      </w:r>
      <w:r w:rsidRPr="00765228">
        <w:rPr>
          <w:rFonts w:ascii="Times New Roman" w:eastAsia="仿宋" w:hAnsi="Times New Roman" w:cs="Times New Roman"/>
          <w:color w:val="000000"/>
          <w:sz w:val="32"/>
          <w:szCs w:val="32"/>
        </w:rPr>
        <w:t>；</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（二）会员设立、收购、撤销分支机构以及变更分支机构地址或者主要负责人，变更公司章程中的重要条款，合并、分立、变更公司形式的；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（三）净资本等风险控制指标不符合中国证监会规定标准的；</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（四）对外提供的担保单笔涉及金额或</w:t>
      </w:r>
      <w:r w:rsidRPr="00765228">
        <w:rPr>
          <w:rFonts w:ascii="Times New Roman" w:eastAsia="仿宋" w:hAnsi="Times New Roman" w:cs="Times New Roman"/>
          <w:color w:val="000000"/>
          <w:sz w:val="32"/>
          <w:szCs w:val="32"/>
        </w:rPr>
        <w:t>12</w:t>
      </w:r>
      <w:r w:rsidRPr="00765228">
        <w:rPr>
          <w:rFonts w:ascii="Times New Roman" w:eastAsia="仿宋" w:hAnsi="Times New Roman" w:cs="Times New Roman"/>
          <w:color w:val="000000"/>
          <w:sz w:val="32"/>
          <w:szCs w:val="32"/>
        </w:rPr>
        <w:t>个月内累计金额占公司最近经审计净资产值的</w:t>
      </w:r>
      <w:r w:rsidRPr="00765228">
        <w:rPr>
          <w:rFonts w:ascii="Times New Roman" w:eastAsia="仿宋" w:hAnsi="Times New Roman" w:cs="Times New Roman"/>
          <w:color w:val="000000"/>
          <w:sz w:val="32"/>
          <w:szCs w:val="32"/>
        </w:rPr>
        <w:t>10%</w:t>
      </w:r>
      <w:r w:rsidRPr="00765228">
        <w:rPr>
          <w:rFonts w:ascii="Times New Roman" w:eastAsia="仿宋" w:hAnsi="Times New Roman" w:cs="Times New Roman"/>
          <w:color w:val="000000"/>
          <w:sz w:val="32"/>
          <w:szCs w:val="32"/>
        </w:rPr>
        <w:t>以上；</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（五）诉讼、仲裁事项涉及金额或</w:t>
      </w:r>
      <w:r w:rsidRPr="00765228">
        <w:rPr>
          <w:rFonts w:ascii="Times New Roman" w:eastAsia="仿宋" w:hAnsi="Times New Roman" w:cs="Times New Roman"/>
          <w:color w:val="000000"/>
          <w:sz w:val="32"/>
          <w:szCs w:val="32"/>
        </w:rPr>
        <w:t>12</w:t>
      </w:r>
      <w:r w:rsidRPr="00765228">
        <w:rPr>
          <w:rFonts w:ascii="Times New Roman" w:eastAsia="仿宋" w:hAnsi="Times New Roman" w:cs="Times New Roman"/>
          <w:color w:val="000000"/>
          <w:sz w:val="32"/>
          <w:szCs w:val="32"/>
        </w:rPr>
        <w:t>个月内累计金额占公司最近经审计净资产值的</w:t>
      </w:r>
      <w:r w:rsidRPr="00765228">
        <w:rPr>
          <w:rFonts w:ascii="Times New Roman" w:eastAsia="仿宋" w:hAnsi="Times New Roman" w:cs="Times New Roman"/>
          <w:color w:val="000000"/>
          <w:sz w:val="32"/>
          <w:szCs w:val="32"/>
        </w:rPr>
        <w:t>10%</w:t>
      </w:r>
      <w:r w:rsidRPr="00765228">
        <w:rPr>
          <w:rFonts w:ascii="Times New Roman" w:eastAsia="仿宋" w:hAnsi="Times New Roman" w:cs="Times New Roman"/>
          <w:color w:val="000000"/>
          <w:sz w:val="32"/>
          <w:szCs w:val="32"/>
        </w:rPr>
        <w:t>以上；</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（六）会员或会员董事、监事、高级管理人员因涉嫌违法违规被有权机关调查或受到行政、刑事处罚的；</w:t>
      </w:r>
    </w:p>
    <w:p w:rsidR="00DE3F40" w:rsidRPr="00765228" w:rsidRDefault="006C4D7F" w:rsidP="00835DBE">
      <w:pPr>
        <w:pStyle w:val="a6"/>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（七）会员改聘会计师事务所；</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（八）股东会或股东大会、董事会决议被依法撤销或宣告无效；</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（九）中国证监会和本所规定的其他事项。</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2.4.4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会员出现下列情形之一的，应当立即向本所报告，并持续报告进展情况：</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（一）发生重大业务风险，影响市场交易的；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（二）交易及相关系统发生重大技术事故，导致交易无法正常进行或者出现重大异常的；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（三）发生不可抗力或者意外事件，影响客户正常交易的；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（四）进入风险处置，被中国证监会采取停业整顿、托管、接管、行政重组、撤销等处置措施的；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（五）发生其他影响会员正常经营的重大事件。</w:t>
      </w:r>
    </w:p>
    <w:p w:rsidR="00765228"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会员发生前款第一项至第四项异常情况的，应当立即通过其营业场所、公司网站等方式予以公告。</w:t>
      </w:r>
    </w:p>
    <w:p w:rsidR="00765228" w:rsidRPr="006E17F3" w:rsidRDefault="006C4D7F" w:rsidP="00F45D80">
      <w:pPr>
        <w:pStyle w:val="2"/>
        <w:spacing w:before="240" w:after="240" w:line="600" w:lineRule="exact"/>
        <w:rPr>
          <w:rFonts w:ascii="楷体" w:eastAsia="楷体" w:hAnsi="楷体"/>
          <w:b w:val="0"/>
          <w:sz w:val="32"/>
        </w:rPr>
      </w:pPr>
      <w:bookmarkStart w:id="12" w:name="_Toc72082125"/>
      <w:r w:rsidRPr="006E17F3">
        <w:rPr>
          <w:rFonts w:ascii="楷体" w:eastAsia="楷体" w:hAnsi="楷体"/>
          <w:b w:val="0"/>
          <w:sz w:val="32"/>
        </w:rPr>
        <w:t>第五节  收</w:t>
      </w:r>
      <w:r w:rsidR="009B0CFA" w:rsidRPr="006E17F3">
        <w:rPr>
          <w:rFonts w:ascii="楷体" w:eastAsia="楷体" w:hAnsi="楷体" w:hint="eastAsia"/>
          <w:b w:val="0"/>
          <w:sz w:val="32"/>
        </w:rPr>
        <w:t xml:space="preserve">  </w:t>
      </w:r>
      <w:r w:rsidRPr="006E17F3">
        <w:rPr>
          <w:rFonts w:ascii="楷体" w:eastAsia="楷体" w:hAnsi="楷体"/>
          <w:b w:val="0"/>
          <w:sz w:val="32"/>
        </w:rPr>
        <w:t>费</w:t>
      </w:r>
      <w:bookmarkEnd w:id="12"/>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2.5.1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会员应当按照规定的收费项目、收费标准与收费方式，按时交纳相关费用。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2.5.2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会员拖欠本所相关费用的，本所可以视情况暂停</w:t>
      </w:r>
      <w:r w:rsidRPr="00765228">
        <w:rPr>
          <w:rFonts w:ascii="Times New Roman" w:eastAsia="仿宋" w:hAnsi="Times New Roman" w:cs="Times New Roman"/>
          <w:color w:val="000000"/>
          <w:sz w:val="32"/>
          <w:szCs w:val="32"/>
        </w:rPr>
        <w:lastRenderedPageBreak/>
        <w:t>受理或者办理相关业务。</w:t>
      </w:r>
    </w:p>
    <w:p w:rsidR="00765228"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2.5.3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会员被中国证监会依法指定托管、接管的，应当按照本所要求交纳相关费用，如不能按时交纳的，本所可以视情况采取相应措施。</w:t>
      </w:r>
    </w:p>
    <w:p w:rsidR="00765228" w:rsidRPr="00F45D80" w:rsidRDefault="006C4D7F" w:rsidP="006E17F3">
      <w:pPr>
        <w:pStyle w:val="2"/>
        <w:spacing w:before="240" w:after="240" w:line="600" w:lineRule="exact"/>
        <w:rPr>
          <w:rFonts w:ascii="黑体" w:eastAsia="黑体" w:hAnsi="黑体"/>
          <w:b w:val="0"/>
          <w:sz w:val="32"/>
        </w:rPr>
      </w:pPr>
      <w:bookmarkStart w:id="13" w:name="_Toc72081401"/>
      <w:bookmarkStart w:id="14" w:name="_Toc72054875"/>
      <w:bookmarkStart w:id="15" w:name="_Toc491347701"/>
      <w:bookmarkStart w:id="16" w:name="_Toc72082126"/>
      <w:r w:rsidRPr="00F45D80">
        <w:rPr>
          <w:rFonts w:ascii="黑体" w:eastAsia="黑体" w:hAnsi="黑体"/>
          <w:b w:val="0"/>
          <w:sz w:val="32"/>
        </w:rPr>
        <w:t>第三章  业务管理</w:t>
      </w:r>
      <w:bookmarkEnd w:id="13"/>
      <w:bookmarkEnd w:id="14"/>
      <w:bookmarkEnd w:id="15"/>
      <w:bookmarkEnd w:id="16"/>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会员开展本所相关业务，应当建立健全合</w:t>
      </w:r>
      <w:proofErr w:type="gramStart"/>
      <w:r w:rsidRPr="00765228">
        <w:rPr>
          <w:rFonts w:ascii="Times New Roman" w:eastAsia="仿宋" w:hAnsi="Times New Roman" w:cs="Times New Roman"/>
          <w:color w:val="000000"/>
          <w:sz w:val="32"/>
          <w:szCs w:val="32"/>
        </w:rPr>
        <w:t>规</w:t>
      </w:r>
      <w:proofErr w:type="gramEnd"/>
      <w:r w:rsidRPr="00765228">
        <w:rPr>
          <w:rFonts w:ascii="Times New Roman" w:eastAsia="仿宋" w:hAnsi="Times New Roman" w:cs="Times New Roman"/>
          <w:color w:val="000000"/>
          <w:sz w:val="32"/>
          <w:szCs w:val="32"/>
        </w:rPr>
        <w:t>管理、内部风险控制与管理机制，严格防范和控制风险。</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会员开展证券交易业务，应当完善业务流程与技术手段，对自身及客户交易行为进行有效管理，防范异常交易与违法违规交易行为。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会员开展证券经纪业务，应当与客户签订证券交易委托协议，并按照本所业务规则的要求接受和执行客户的证券买卖委托。</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会员应当在证券交易委托协议中与客户明确双方权利与义务，并对客户资料提供、账户交易权限管理、委托交易指令核查、异常交易行为处理、客户委托拒绝以及委托关系解除等事项</w:t>
      </w:r>
      <w:proofErr w:type="gramStart"/>
      <w:r w:rsidRPr="00765228">
        <w:rPr>
          <w:rFonts w:ascii="Times New Roman" w:eastAsia="仿宋" w:hAnsi="Times New Roman" w:cs="Times New Roman"/>
          <w:color w:val="000000"/>
          <w:sz w:val="32"/>
          <w:szCs w:val="32"/>
        </w:rPr>
        <w:t>作出</w:t>
      </w:r>
      <w:proofErr w:type="gramEnd"/>
      <w:r w:rsidRPr="00765228">
        <w:rPr>
          <w:rFonts w:ascii="Times New Roman" w:eastAsia="仿宋" w:hAnsi="Times New Roman" w:cs="Times New Roman"/>
          <w:color w:val="000000"/>
          <w:sz w:val="32"/>
          <w:szCs w:val="32"/>
        </w:rPr>
        <w:t>约定。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存在下列情形之一的，会员应当按照证券交易委托协议约定，拒绝接受委托、暂停提供交易服务或者终止与客户的证券交易委托代理关系：</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（一）客户违法违规使用证券账户；</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（二）客户存在严重影响正常交易秩序的异常交易行为</w:t>
      </w:r>
      <w:r w:rsidRPr="00765228">
        <w:rPr>
          <w:rFonts w:ascii="Times New Roman" w:eastAsia="仿宋" w:hAnsi="Times New Roman" w:cs="Times New Roman"/>
          <w:color w:val="000000"/>
          <w:sz w:val="32"/>
          <w:szCs w:val="32"/>
        </w:rPr>
        <w:lastRenderedPageBreak/>
        <w:t>或者涉嫌违法违规的交易行为；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（三）客户频繁发生异常交易行为；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（四）客户拒绝按规定、约定向监管机构或会员提供身份信息、交易信息、账户实际控制人信息等；</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（五）本所业务规则规定或者会员认为必要的其他情形。</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会员与客户建立证券交易委托代理关系时，应当采取必要措施充分了解客户的基本信息、财务状况、证券投资经验、交易需求、风险偏好等情况。</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会员对各类金融产品还应当了解产品结构、产品期限、收益特征等金融产品合同关键要素，投资顾问、实际控制人和实际受益人等相关主体以及金融产品审批、备案等相关信息。</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会员对客户账户内的资金、证券以及委托、成交数据应当有完整、准确、详实的记录或者凭证，按户分账管理，并向客户提供对账与查询服务。</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会员应当采取有效措施，妥善保存客户开户资料、委托记录、交易记录、清算文件、客户交易终端信息等资料，防止出现遗失、毁损、伪造、篡改等情况，保存期限不得少于</w:t>
      </w:r>
      <w:r w:rsidRPr="00765228">
        <w:rPr>
          <w:rFonts w:ascii="Times New Roman" w:eastAsia="仿宋" w:hAnsi="Times New Roman" w:cs="Times New Roman"/>
          <w:color w:val="000000"/>
          <w:sz w:val="32"/>
          <w:szCs w:val="32"/>
        </w:rPr>
        <w:t>20</w:t>
      </w:r>
      <w:r w:rsidRPr="00765228">
        <w:rPr>
          <w:rFonts w:ascii="Times New Roman" w:eastAsia="仿宋" w:hAnsi="Times New Roman" w:cs="Times New Roman"/>
          <w:color w:val="000000"/>
          <w:sz w:val="32"/>
          <w:szCs w:val="32"/>
        </w:rPr>
        <w:t>年。</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3.8</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会员应当对客户信息资料保密，法律、行政法规、部门规章、规范性文件另有规定的除外。</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3.9</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会员开展证券自营业务应当通过证券自营账户进行，并自证券自营账户开立之日起</w:t>
      </w:r>
      <w:r w:rsidRPr="00765228">
        <w:rPr>
          <w:rFonts w:ascii="Times New Roman" w:eastAsia="仿宋" w:hAnsi="Times New Roman" w:cs="Times New Roman"/>
          <w:color w:val="000000"/>
          <w:sz w:val="32"/>
          <w:szCs w:val="32"/>
        </w:rPr>
        <w:t>3</w:t>
      </w:r>
      <w:r w:rsidRPr="00765228">
        <w:rPr>
          <w:rFonts w:ascii="Times New Roman" w:eastAsia="仿宋" w:hAnsi="Times New Roman" w:cs="Times New Roman"/>
          <w:color w:val="000000"/>
          <w:sz w:val="32"/>
          <w:szCs w:val="32"/>
        </w:rPr>
        <w:t>个交易日内报本所备案。</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会员不得将证券自营账户借给他人使用，不得借用他人账户开展自营业务。</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3.10</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会员开展证券资产管理业务，应当自证券账户开立之日起</w:t>
      </w:r>
      <w:r w:rsidRPr="00765228">
        <w:rPr>
          <w:rFonts w:ascii="Times New Roman" w:eastAsia="仿宋" w:hAnsi="Times New Roman" w:cs="Times New Roman"/>
          <w:color w:val="000000"/>
          <w:sz w:val="32"/>
          <w:szCs w:val="32"/>
        </w:rPr>
        <w:t>3</w:t>
      </w:r>
      <w:r w:rsidRPr="00765228">
        <w:rPr>
          <w:rFonts w:ascii="Times New Roman" w:eastAsia="仿宋" w:hAnsi="Times New Roman" w:cs="Times New Roman"/>
          <w:color w:val="000000"/>
          <w:sz w:val="32"/>
          <w:szCs w:val="32"/>
        </w:rPr>
        <w:t>个交易日内报本所备案。</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进行自营与资产管理业务交易时，应当对每一笔申报所涉及的资金、证券、价格等内容进行核查，确保交易指令符合本所业务规则的规定，及时识别和防范业务风险。交易指令应当由自营与资产管理业务部门以外的其他部门核查。</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会员证券自营及资产管理等交易业务中出现异常交易行为的，应当及时采取有效管理措施并向本所报告。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通过自营账户、资产管理账户等开展产品业务创新，参与本所证券交易的，应当根据本所要求，将其开展产品业务创新的具体情况及相关投资顾问、账户实际操作人、实际受益人等主体的有关资料报本所备案。</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会员开展证券投资咨询业务，应当建立研究报告的质量审核机制和发布程序，确保信息来源合法合</w:t>
      </w:r>
      <w:proofErr w:type="gramStart"/>
      <w:r w:rsidRPr="00765228">
        <w:rPr>
          <w:rFonts w:ascii="Times New Roman" w:eastAsia="仿宋" w:hAnsi="Times New Roman" w:cs="Times New Roman"/>
          <w:color w:val="000000"/>
          <w:sz w:val="32"/>
          <w:szCs w:val="32"/>
        </w:rPr>
        <w:t>规</w:t>
      </w:r>
      <w:proofErr w:type="gramEnd"/>
      <w:r w:rsidRPr="00765228">
        <w:rPr>
          <w:rFonts w:ascii="Times New Roman" w:eastAsia="仿宋" w:hAnsi="Times New Roman" w:cs="Times New Roman"/>
          <w:color w:val="000000"/>
          <w:sz w:val="32"/>
          <w:szCs w:val="32"/>
        </w:rPr>
        <w:t>，分析结论具有合理依据，充分揭示投资风险，避免误导市场并导致相关证券价格出现异常波动。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会员开展证券承销保荐、做市交易、融资融券、股票质押式回购交易、证券发行、持续督导、证券受托管理、基金销售等业务，应当严格遵守本所相关规定，加强内部控制，防范和控制业务风险。</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3.15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会员应当加强证券账户管理，不得为他人违法违规使用账户进行证券交易提供便利，发现账户存在涉嫌违法违规交易行为或使用情况与报送情况不一致等异常情况的，应当及时核查并向本所报告。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会员应当建立健全信息隔离制度，对存在利益冲突的各项业务采取有效管理措施，严格控制敏感信息的不当使用。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会员应当加强其业务人员的执业道德和诚信教育，强化业务人员的勤勉尽责意识、合</w:t>
      </w:r>
      <w:proofErr w:type="gramStart"/>
      <w:r w:rsidRPr="00765228">
        <w:rPr>
          <w:rFonts w:ascii="Times New Roman" w:eastAsia="仿宋" w:hAnsi="Times New Roman" w:cs="Times New Roman"/>
          <w:color w:val="000000"/>
          <w:sz w:val="32"/>
          <w:szCs w:val="32"/>
        </w:rPr>
        <w:t>规</w:t>
      </w:r>
      <w:proofErr w:type="gramEnd"/>
      <w:r w:rsidRPr="00765228">
        <w:rPr>
          <w:rFonts w:ascii="Times New Roman" w:eastAsia="仿宋" w:hAnsi="Times New Roman" w:cs="Times New Roman"/>
          <w:color w:val="000000"/>
          <w:sz w:val="32"/>
          <w:szCs w:val="32"/>
        </w:rPr>
        <w:t>操作意识、风险控制意识和保密意识。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3.18</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会员收到监管机构监管文件时，应当注意保密，未经相关监管机构许可，不得泄露给任何第三方。</w:t>
      </w:r>
      <w:bookmarkStart w:id="17" w:name="_Toc491347702"/>
    </w:p>
    <w:p w:rsidR="00DE3F40"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会员及其业务人员应当对开展本所业务中获取的非公开信息履行保密义务，不得利用该信息谋取不正当利益。</w:t>
      </w:r>
    </w:p>
    <w:p w:rsidR="00765228" w:rsidRPr="00765228" w:rsidRDefault="00765228"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sz w:val="32"/>
          <w:szCs w:val="32"/>
        </w:rPr>
      </w:pPr>
    </w:p>
    <w:p w:rsidR="00765228" w:rsidRPr="00F45D80" w:rsidRDefault="006C4D7F" w:rsidP="00F45D80">
      <w:pPr>
        <w:pStyle w:val="2"/>
        <w:spacing w:before="240" w:after="240" w:line="600" w:lineRule="exact"/>
        <w:rPr>
          <w:rFonts w:ascii="黑体" w:eastAsia="黑体" w:hAnsi="黑体"/>
          <w:b w:val="0"/>
          <w:sz w:val="32"/>
        </w:rPr>
      </w:pPr>
      <w:bookmarkStart w:id="18" w:name="_Toc72081402"/>
      <w:bookmarkStart w:id="19" w:name="_Toc72054876"/>
      <w:bookmarkStart w:id="20" w:name="_Toc72082127"/>
      <w:r w:rsidRPr="00F45D80">
        <w:rPr>
          <w:rFonts w:ascii="黑体" w:eastAsia="黑体" w:hAnsi="黑体"/>
          <w:b w:val="0"/>
          <w:sz w:val="32"/>
        </w:rPr>
        <w:t>第四章  客户管理</w:t>
      </w:r>
      <w:bookmarkEnd w:id="17"/>
      <w:bookmarkEnd w:id="18"/>
      <w:bookmarkEnd w:id="19"/>
      <w:bookmarkEnd w:id="20"/>
    </w:p>
    <w:p w:rsidR="00765228" w:rsidRPr="006E17F3" w:rsidRDefault="006C4D7F" w:rsidP="00F45D80">
      <w:pPr>
        <w:pStyle w:val="2"/>
        <w:spacing w:before="240" w:after="240" w:line="600" w:lineRule="exact"/>
        <w:rPr>
          <w:rFonts w:ascii="楷体" w:eastAsia="楷体" w:hAnsi="楷体"/>
          <w:b w:val="0"/>
          <w:sz w:val="32"/>
        </w:rPr>
      </w:pPr>
      <w:bookmarkStart w:id="21" w:name="_Toc72082128"/>
      <w:r w:rsidRPr="006E17F3">
        <w:rPr>
          <w:rFonts w:ascii="楷体" w:eastAsia="楷体" w:hAnsi="楷体"/>
          <w:b w:val="0"/>
          <w:sz w:val="32"/>
        </w:rPr>
        <w:t>第一节  客户交易行为管理</w:t>
      </w:r>
      <w:bookmarkEnd w:id="21"/>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会员应当切实履行客户交易行为管理职责，按照</w:t>
      </w:r>
      <w:r w:rsidRPr="00765228">
        <w:rPr>
          <w:rFonts w:ascii="仿宋" w:eastAsia="仿宋" w:hAnsi="仿宋" w:cs="Times New Roman"/>
          <w:color w:val="000000"/>
          <w:sz w:val="32"/>
          <w:szCs w:val="32"/>
        </w:rPr>
        <w:t>“事前认识客户，事中监控交易，事后报告异常”的</w:t>
      </w:r>
      <w:r w:rsidRPr="00765228">
        <w:rPr>
          <w:rFonts w:ascii="Times New Roman" w:eastAsia="仿宋" w:hAnsi="Times New Roman" w:cs="Times New Roman"/>
          <w:color w:val="000000"/>
          <w:sz w:val="32"/>
          <w:szCs w:val="32"/>
        </w:rPr>
        <w:t>要求，建立完善的客户交易行为管理制度，引导客户合法合</w:t>
      </w:r>
      <w:proofErr w:type="gramStart"/>
      <w:r w:rsidRPr="00765228">
        <w:rPr>
          <w:rFonts w:ascii="Times New Roman" w:eastAsia="仿宋" w:hAnsi="Times New Roman" w:cs="Times New Roman"/>
          <w:color w:val="000000"/>
          <w:sz w:val="32"/>
          <w:szCs w:val="32"/>
        </w:rPr>
        <w:t>规</w:t>
      </w:r>
      <w:proofErr w:type="gramEnd"/>
      <w:r w:rsidRPr="00765228">
        <w:rPr>
          <w:rFonts w:ascii="Times New Roman" w:eastAsia="仿宋" w:hAnsi="Times New Roman" w:cs="Times New Roman"/>
          <w:color w:val="000000"/>
          <w:sz w:val="32"/>
          <w:szCs w:val="32"/>
        </w:rPr>
        <w:t>地参与本所市场证券交易。</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会员应当指定专门部门负责客户交易行为管理和</w:t>
      </w:r>
      <w:r w:rsidRPr="00765228">
        <w:rPr>
          <w:rFonts w:ascii="Times New Roman" w:eastAsia="仿宋" w:hAnsi="Times New Roman" w:cs="Times New Roman"/>
          <w:color w:val="000000"/>
          <w:sz w:val="32"/>
          <w:szCs w:val="32"/>
        </w:rPr>
        <w:lastRenderedPageBreak/>
        <w:t>自律监管协同工作，对相关人员进行培训，并就客户交易行为管理和自律监管协同工作的执行情况设置考核标准。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会员应当充分认识自己的客户，掌握客户相关信息，要求客户承诺所提供信息真实、准确、完整。</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接受客户证券买卖委托时，应当核对客户身份及其账户交易权限，对客户的每一笔委托所涉及的交易资格、资金、证券、价格等内容进行核查，查验资金、证券是否足额，并确保客户委托符合本所业务规则的规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会员应当完善交易监测监控系统，设定相应的监测指标和预警参数，对客户的交易行为进行监测监控，识别客户的异常交易行为。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会员在监测监控中发现客户涉嫌异常交易行为的，应当及时分析。</w:t>
      </w:r>
      <w:proofErr w:type="gramStart"/>
      <w:r w:rsidRPr="00765228">
        <w:rPr>
          <w:rFonts w:ascii="Times New Roman" w:eastAsia="仿宋" w:hAnsi="Times New Roman" w:cs="Times New Roman"/>
          <w:color w:val="000000"/>
          <w:sz w:val="32"/>
          <w:szCs w:val="32"/>
        </w:rPr>
        <w:t>经判断</w:t>
      </w:r>
      <w:proofErr w:type="gramEnd"/>
      <w:r w:rsidRPr="00765228">
        <w:rPr>
          <w:rFonts w:ascii="Times New Roman" w:eastAsia="仿宋" w:hAnsi="Times New Roman" w:cs="Times New Roman"/>
          <w:color w:val="000000"/>
          <w:sz w:val="32"/>
          <w:szCs w:val="32"/>
        </w:rPr>
        <w:t>确认客户交易行为存在异常的，会员应当告知、提醒、警示客户。对可能严重影响正常交易秩序的异常交易行为或者涉嫌违法违规的交易行为，会员应当根据与客户的协议拒绝接受其委托，并及时向本所报告。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对于客户出现账户资产规模、交易金额异常放大等可疑情形的，会员应当及时核查分析，发现涉嫌违法违规的，应当及时向本所报告。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会员应当建立相应的监管协同制度与流程，配合本所调查，按照本所要求及时、真实、准确、完整地提供相关客户资料。</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本所对投资者采取自律监管措施或纪律处分的，会员应</w:t>
      </w:r>
      <w:r w:rsidRPr="00765228">
        <w:rPr>
          <w:rFonts w:ascii="Times New Roman" w:eastAsia="仿宋" w:hAnsi="Times New Roman" w:cs="Times New Roman"/>
          <w:color w:val="000000"/>
          <w:sz w:val="32"/>
          <w:szCs w:val="32"/>
        </w:rPr>
        <w:lastRenderedPageBreak/>
        <w:t>当及时传达客户，协同本所完成对客户交易行为的自律管理，采取有效措施管理客户交易行为。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会员在协同本所进行自律管理的过程中收到本所监管文件的，应当严格按照监管文件要求进行处理。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会员应当按照本所要求明确交易监控重点，针对重点监控账户、重点监控证券、重点分支机构，采取针对性措施加强交易监测监控和管理。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4.1.8</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会员应当妥善留存客户交易行为管理的各项记录，定期汇总各分支机构的客户管理台账和客户异常交易情况。</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4.1.9</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本所建立会员客户交易行为管理评价机制，对会员客户交易行为管理、协同本所自律监管等情况进行综合评价。</w:t>
      </w:r>
    </w:p>
    <w:p w:rsidR="00DE3F40" w:rsidRPr="00765228" w:rsidRDefault="006C4D7F" w:rsidP="00835DBE">
      <w:pPr>
        <w:spacing w:line="600" w:lineRule="exact"/>
        <w:ind w:firstLineChars="200" w:firstLine="640"/>
        <w:rPr>
          <w:rFonts w:eastAsia="仿宋"/>
          <w:sz w:val="32"/>
          <w:szCs w:val="32"/>
        </w:rPr>
      </w:pPr>
      <w:r w:rsidRPr="00765228">
        <w:rPr>
          <w:rFonts w:eastAsia="仿宋"/>
          <w:sz w:val="32"/>
          <w:szCs w:val="32"/>
        </w:rPr>
        <w:t>本所将根据评价结果等对会员开展现场或者非现场检查，并可根据评价结果或者检查情况采取相应的自律监管措施或者纪律处分。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4.1.10</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会员未按本规则或本所其他业务规则要求履行客户交易行为管理</w:t>
      </w:r>
      <w:r w:rsidR="004E3F9C">
        <w:rPr>
          <w:rFonts w:ascii="Times New Roman" w:eastAsia="仿宋" w:hAnsi="Times New Roman" w:cs="Times New Roman" w:hint="eastAsia"/>
          <w:color w:val="000000"/>
          <w:sz w:val="32"/>
          <w:szCs w:val="32"/>
        </w:rPr>
        <w:t>职责</w:t>
      </w:r>
      <w:r w:rsidRPr="00765228">
        <w:rPr>
          <w:rFonts w:ascii="Times New Roman" w:eastAsia="仿宋" w:hAnsi="Times New Roman" w:cs="Times New Roman"/>
          <w:color w:val="000000"/>
          <w:sz w:val="32"/>
          <w:szCs w:val="32"/>
        </w:rPr>
        <w:t>的，本所可对其采取相应处理措施。</w:t>
      </w:r>
    </w:p>
    <w:p w:rsidR="00765228"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本所对遵守和执行客户交易行为管理相关规定表现突出的会员，可以采取适当形式给予表彰或激励。</w:t>
      </w:r>
    </w:p>
    <w:p w:rsidR="00765228" w:rsidRPr="006E17F3" w:rsidRDefault="006C4D7F" w:rsidP="00F45D80">
      <w:pPr>
        <w:pStyle w:val="2"/>
        <w:spacing w:before="240" w:after="240" w:line="600" w:lineRule="exact"/>
        <w:rPr>
          <w:rFonts w:ascii="楷体" w:eastAsia="楷体" w:hAnsi="楷体"/>
          <w:b w:val="0"/>
          <w:sz w:val="32"/>
        </w:rPr>
      </w:pPr>
      <w:bookmarkStart w:id="22" w:name="_Toc72082129"/>
      <w:r w:rsidRPr="006E17F3">
        <w:rPr>
          <w:rFonts w:ascii="楷体" w:eastAsia="楷体" w:hAnsi="楷体"/>
          <w:b w:val="0"/>
          <w:sz w:val="32"/>
        </w:rPr>
        <w:t>第二节  投资者适当性管理</w:t>
      </w:r>
      <w:bookmarkEnd w:id="22"/>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4.2.1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会员应当根据法律、行政法规、部门规章、规范性文件和本所业务规则的规定履行投资者适当性管理义务，向</w:t>
      </w:r>
      <w:r w:rsidRPr="00765228">
        <w:rPr>
          <w:rFonts w:ascii="Times New Roman" w:eastAsia="仿宋" w:hAnsi="Times New Roman" w:cs="Times New Roman"/>
          <w:color w:val="000000"/>
          <w:sz w:val="32"/>
          <w:szCs w:val="32"/>
        </w:rPr>
        <w:lastRenderedPageBreak/>
        <w:t>客户提供本所市场的产品或服务（以下简称产品或服务）时，切实遵守相关法律法规和本所相关业务规则对投资者准入条件、风险揭示方式等投资者适当性管理的要求。</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对于不符合相关规定准入条件的客户，会员应当拒绝为其提供产品或服务。</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4.2.2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会员应当制定投资者适当性管理相关制度，建立客户分类与产品或服务风险分级的管理机制。</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4.2.3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会员应当遵循</w:t>
      </w:r>
      <w:r w:rsidRPr="00765228">
        <w:rPr>
          <w:rFonts w:ascii="仿宋" w:eastAsia="仿宋" w:hAnsi="仿宋" w:cs="Times New Roman"/>
          <w:color w:val="000000"/>
          <w:sz w:val="32"/>
          <w:szCs w:val="32"/>
        </w:rPr>
        <w:t>“了解自己客户”的原</w:t>
      </w:r>
      <w:r w:rsidRPr="00765228">
        <w:rPr>
          <w:rFonts w:ascii="Times New Roman" w:eastAsia="仿宋" w:hAnsi="Times New Roman" w:cs="Times New Roman"/>
          <w:color w:val="000000"/>
          <w:sz w:val="32"/>
          <w:szCs w:val="32"/>
        </w:rPr>
        <w:t>则，评估客户风险认知与承受能力，对客户进行分类管理。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4.2.4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会员应当了解拟向客户提供的产品或服务的相关信息，包括产品或服务的内容、性质、风险收益特征、业务规则等。</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4.2.5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在遵守投资者准入要求的前提下，对客户的风险承受能力与产品或服务进行适当性匹配，根据产品或服务的风险收益特征、投资目标等因素，确定适合参与的客户类别与范围，将适当的产品或服务提供给适合的客户。</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4.2.6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会员向客户提供产品或服务，应当向其详细介绍产品或服务的相关信息，明确告知产品或服务的风险收益特征，充分揭示投资风险和可能存在的利益冲突，并根据本所相关业务规则的规定与客户签署风险揭示书。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4.2.7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会员应当动态跟踪客户，对于购买或</w:t>
      </w:r>
      <w:proofErr w:type="gramStart"/>
      <w:r w:rsidRPr="00765228">
        <w:rPr>
          <w:rFonts w:ascii="Times New Roman" w:eastAsia="仿宋" w:hAnsi="Times New Roman" w:cs="Times New Roman"/>
          <w:color w:val="000000"/>
          <w:sz w:val="32"/>
          <w:szCs w:val="32"/>
        </w:rPr>
        <w:t>申请高</w:t>
      </w:r>
      <w:proofErr w:type="gramEnd"/>
      <w:r w:rsidRPr="00765228">
        <w:rPr>
          <w:rFonts w:ascii="Times New Roman" w:eastAsia="仿宋" w:hAnsi="Times New Roman" w:cs="Times New Roman"/>
          <w:color w:val="000000"/>
          <w:sz w:val="32"/>
          <w:szCs w:val="32"/>
        </w:rPr>
        <w:t>风险产品或服务的客户，持续评估客户的风险承受能力，并通过多种方式揭示交易风险，引导客户理性投资。</w:t>
      </w:r>
    </w:p>
    <w:p w:rsidR="00765228"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4.2.8</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会员应当按照有关规定，以纸面或者电子方式记载、妥善保存其履行投资者适当性管理义务的相关信息资料。</w:t>
      </w:r>
    </w:p>
    <w:p w:rsidR="00765228" w:rsidRPr="006E17F3" w:rsidRDefault="006C4D7F" w:rsidP="00F45D80">
      <w:pPr>
        <w:pStyle w:val="2"/>
        <w:spacing w:before="240" w:after="240" w:line="600" w:lineRule="exact"/>
        <w:rPr>
          <w:rFonts w:ascii="楷体" w:eastAsia="楷体" w:hAnsi="楷体"/>
          <w:b w:val="0"/>
          <w:sz w:val="32"/>
        </w:rPr>
      </w:pPr>
      <w:bookmarkStart w:id="23" w:name="_Toc72082130"/>
      <w:r w:rsidRPr="006E17F3">
        <w:rPr>
          <w:rFonts w:ascii="楷体" w:eastAsia="楷体" w:hAnsi="楷体"/>
          <w:b w:val="0"/>
          <w:sz w:val="32"/>
        </w:rPr>
        <w:t>第三节  投资者教育管理</w:t>
      </w:r>
      <w:bookmarkEnd w:id="23"/>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4.3.1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会员应当按照有关规定，切实做好各项投资者教育工作，引导投资者理性参与证券交易，提高风险防范意识和自我保护能力。</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4.3.2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会员应当建立健全投资者教育工作制度，将投资者教育工作纳入各项业务环节，设置投资者教育岗位，明确岗位职责，做好员工培训，保障费用支出和人员配备。</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4.3.3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会员投资者教育内容包括：</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（一）证券法律法规、政策与本所业务规则；</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（二）证券投资知识和投资技能；</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（三）证券产品、业务及其风险收益特征；</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（四）证券市场违法违规行为案例；</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（五）宏观经济政策与行业发展动态；</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（六）投资者权利行使、诉求处理及纠纷解决；</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（七）有关投资者教育的其他内容。</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会员可以根据自身投资者教育工作开展情况，并结合市场形势变化，及时补充和调整投资者教育内容，确保投资者教育工作的时效性、有效性。</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4.3.4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会员应当结合投资者分类，面向新开户、参与新股交易、参与本所相关新业务的投资者，重点介绍证券投资知</w:t>
      </w:r>
      <w:r w:rsidRPr="00765228">
        <w:rPr>
          <w:rFonts w:ascii="Times New Roman" w:eastAsia="仿宋" w:hAnsi="Times New Roman" w:cs="Times New Roman"/>
          <w:color w:val="000000"/>
          <w:sz w:val="32"/>
          <w:szCs w:val="32"/>
        </w:rPr>
        <w:lastRenderedPageBreak/>
        <w:t>识和投资风险等，有针对性地开展投资者教育工作，强化投资者的风险防范意识。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4.3.5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会员应当按照有关规定，为投资者在主张赔偿救济、参与上市公司股东大会网络投票等依法行使权利时提供相关支持与便利，维护投资者合法权益。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4.3.6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本所可以根据市场情况，组织开展各类投资者教育活动。会员应当积极配合，协助做好组织安排工作。</w:t>
      </w:r>
    </w:p>
    <w:p w:rsidR="00765228" w:rsidRPr="00765228" w:rsidRDefault="006C4D7F" w:rsidP="00F45D80">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4.3.7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本所对会员开展投资者教育工作进行检查、指导、监督、协调、服务和评估，引导会员强化投资者教育工作。</w:t>
      </w:r>
    </w:p>
    <w:p w:rsidR="00765228" w:rsidRPr="00765228" w:rsidRDefault="006C4D7F" w:rsidP="00F45D80">
      <w:pPr>
        <w:pStyle w:val="1"/>
        <w:spacing w:before="240" w:after="240" w:line="600" w:lineRule="exact"/>
        <w:rPr>
          <w:b w:val="0"/>
          <w:sz w:val="32"/>
          <w:szCs w:val="32"/>
        </w:rPr>
      </w:pPr>
      <w:bookmarkStart w:id="24" w:name="_Toc72081403"/>
      <w:bookmarkStart w:id="25" w:name="_Toc72054877"/>
      <w:bookmarkStart w:id="26" w:name="_Toc491347703"/>
      <w:bookmarkStart w:id="27" w:name="_Toc72082131"/>
      <w:r>
        <w:rPr>
          <w:b w:val="0"/>
          <w:sz w:val="32"/>
          <w:szCs w:val="32"/>
        </w:rPr>
        <w:t>第五章</w:t>
      </w:r>
      <w:r>
        <w:rPr>
          <w:b w:val="0"/>
          <w:sz w:val="32"/>
          <w:szCs w:val="32"/>
        </w:rPr>
        <w:t xml:space="preserve">  </w:t>
      </w:r>
      <w:r>
        <w:rPr>
          <w:b w:val="0"/>
          <w:sz w:val="32"/>
          <w:szCs w:val="32"/>
        </w:rPr>
        <w:t>证券交易信息管理</w:t>
      </w:r>
      <w:bookmarkEnd w:id="24"/>
      <w:bookmarkEnd w:id="25"/>
      <w:bookmarkEnd w:id="26"/>
      <w:bookmarkEnd w:id="27"/>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5.1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本所对本所市场交易形成的基础信息和加工产生的信息产品享有专属权利。会员使用本所证券交易信息，应当与本所或者本所授权机构签订使用协议，并遵守本所有关证券交易信息管理的规定。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5.2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会员应当通过本所或者本所授权机构认可的通信系统传输证券交易信息。</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5.3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会员应当在营业场所及证券经纪网上交易等客户交易平台及时准确地公布证券交易信息，</w:t>
      </w:r>
      <w:proofErr w:type="gramStart"/>
      <w:r w:rsidRPr="00765228">
        <w:rPr>
          <w:rFonts w:ascii="Times New Roman" w:eastAsia="仿宋" w:hAnsi="Times New Roman" w:cs="Times New Roman"/>
          <w:color w:val="000000"/>
          <w:sz w:val="32"/>
          <w:szCs w:val="32"/>
        </w:rPr>
        <w:t>供开展</w:t>
      </w:r>
      <w:proofErr w:type="gramEnd"/>
      <w:r w:rsidRPr="00765228">
        <w:rPr>
          <w:rFonts w:ascii="Times New Roman" w:eastAsia="仿宋" w:hAnsi="Times New Roman" w:cs="Times New Roman"/>
          <w:color w:val="000000"/>
          <w:sz w:val="32"/>
          <w:szCs w:val="32"/>
        </w:rPr>
        <w:t>证券交易的客户使用。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5.4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未经本所或者本所授权机构许可，会员不得以下列方式使用证券交易信息：</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（一）有偿或者无偿提供给客户开展自身证券交易以外</w:t>
      </w:r>
      <w:r w:rsidRPr="00765228">
        <w:rPr>
          <w:rFonts w:ascii="Times New Roman" w:eastAsia="仿宋" w:hAnsi="Times New Roman" w:cs="Times New Roman"/>
          <w:color w:val="000000"/>
          <w:sz w:val="32"/>
          <w:szCs w:val="32"/>
        </w:rPr>
        <w:lastRenderedPageBreak/>
        <w:t>的其他活动；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（二）有偿或者无偿提供给客户以外的其他机构和个人；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（三）在营业场所、证券经纪网上交易等客户交易平台外使用；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（四）本所业务规则或其他授权协议禁止的其他使用方式。</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5.5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会员应当在证券交易委托协议中约定并且明确告知客户不得将证券交易信息用于自身证券交易以外的其他活动，并对客户使用证券交易信息的行为进行有效管理。</w:t>
      </w:r>
    </w:p>
    <w:p w:rsidR="00765228" w:rsidRPr="00765228" w:rsidRDefault="006C4D7F" w:rsidP="00F45D80">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会员发现客户使用证券交易信息时存在损害本所利益的行为，应当及时采取有效措施予以制止，并向本所报告。</w:t>
      </w:r>
      <w:bookmarkStart w:id="28" w:name="_Toc491347704"/>
    </w:p>
    <w:p w:rsidR="00765228" w:rsidRPr="00765228" w:rsidRDefault="006C4D7F" w:rsidP="00F45D80">
      <w:pPr>
        <w:pStyle w:val="1"/>
        <w:spacing w:before="240" w:after="240" w:line="600" w:lineRule="exact"/>
        <w:rPr>
          <w:b w:val="0"/>
          <w:sz w:val="32"/>
          <w:szCs w:val="32"/>
        </w:rPr>
      </w:pPr>
      <w:bookmarkStart w:id="29" w:name="_Toc72054878"/>
      <w:bookmarkStart w:id="30" w:name="_Toc72081404"/>
      <w:bookmarkStart w:id="31" w:name="_Toc72082132"/>
      <w:r>
        <w:rPr>
          <w:b w:val="0"/>
          <w:sz w:val="32"/>
          <w:szCs w:val="32"/>
        </w:rPr>
        <w:t>第六章</w:t>
      </w:r>
      <w:r>
        <w:rPr>
          <w:b w:val="0"/>
          <w:sz w:val="32"/>
          <w:szCs w:val="32"/>
        </w:rPr>
        <w:t xml:space="preserve">  </w:t>
      </w:r>
      <w:r>
        <w:rPr>
          <w:b w:val="0"/>
          <w:sz w:val="32"/>
          <w:szCs w:val="32"/>
        </w:rPr>
        <w:t>交易及相关系统管理</w:t>
      </w:r>
      <w:bookmarkEnd w:id="28"/>
      <w:bookmarkEnd w:id="29"/>
      <w:bookmarkEnd w:id="30"/>
      <w:bookmarkEnd w:id="31"/>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会员应当按照中国证监会及本所业务规则的规定，建立交易及相关系统，并制定相应的安全运行管理制度。</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会员交易及相关系统与本所接口部分的建设、运行、维护，应当符合本所或者本所授权机构的规定或者认可的技术管理规范。</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会员交易及相关系统的性能、容量及扩展能力应当与其业务发展及市场需求相适应，保障交易及相关系统的持续稳定运行。</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会员使用本所或者本所授权机构提供的交易及相关系统服务，应当与本所或者本所授权机构签订协议。</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6.4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会员应当按照本所或者本所授权机构的技术规范和业务要求，对交易及相关系统的软件和硬件进行改造，并按要求参与本所或者本所授权机构组织的测试，及时报告测试情况。</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会员对其交易及相关系统进行改造、测试时，不得影响交易活动的正常进行。</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会员应当在交易及相关系统中实现对交易委托有效性的核查及对客户账户交易权限的管理等功能，确保向本所发送的交易申报符合本所业务规则的要求。</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会员应当建立健全交易及相关系统日常运行维护的管理制度和操作流程，保障交易及相关系统的安全稳定运行。</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会员应当建立交易及相关系统的备份系统和备份通信线路，并实施有效管理，确保事故或者灾难发生后备份系统和备份通信线路可以正常使用。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6.8</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会员应当建立数据备份与恢复管理制度，对证券交易中产生的业务数据、系统数据等实行严格的安全保密管理，并及时备份和异地保存。</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6.9</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会员应当定期检查交易及相关系统的安全性、稳定性，制定应急预案，并根据本所或者本所授权机构的要求，进行定期或者临时应急演练。</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6.10</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会员的交易及相关系统出现重大故障或者其他因素影响证券市场交易的，应当立即采取有效措施，并及时向本所报告。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6.11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会员应当在交易及相关系统与其他技术系统之间、交易通信网络与其他应用网络之间，采取技术隔离措施。</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6.12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会员应当保障与本所交易及相关系统连接的安全。未经本所或者本所授权机构同意，会员不得在交易时间内通过本所交易及相关系统从事与证券业务无关的活动。</w:t>
      </w:r>
    </w:p>
    <w:p w:rsidR="00765228" w:rsidRPr="00765228" w:rsidRDefault="006C4D7F" w:rsidP="00F45D80">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6.13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会员应当按照中国证监会及本所相关规定，加强对交易信息系统外部接入和程序化交易行为的管理，并按照本所要求报备相关信息。</w:t>
      </w:r>
      <w:bookmarkStart w:id="32" w:name="_Toc491347705"/>
    </w:p>
    <w:p w:rsidR="00765228" w:rsidRPr="00765228" w:rsidRDefault="006C4D7F" w:rsidP="00F45D80">
      <w:pPr>
        <w:pStyle w:val="1"/>
        <w:spacing w:before="240" w:after="240" w:line="600" w:lineRule="exact"/>
        <w:rPr>
          <w:b w:val="0"/>
          <w:sz w:val="32"/>
          <w:szCs w:val="32"/>
        </w:rPr>
      </w:pPr>
      <w:bookmarkStart w:id="33" w:name="_Toc72082133"/>
      <w:bookmarkStart w:id="34" w:name="_Toc72081405"/>
      <w:bookmarkStart w:id="35" w:name="_Toc72054879"/>
      <w:r>
        <w:rPr>
          <w:b w:val="0"/>
          <w:sz w:val="32"/>
          <w:szCs w:val="32"/>
        </w:rPr>
        <w:t>第七章</w:t>
      </w:r>
      <w:r>
        <w:rPr>
          <w:b w:val="0"/>
          <w:sz w:val="32"/>
          <w:szCs w:val="32"/>
        </w:rPr>
        <w:t xml:space="preserve">  </w:t>
      </w:r>
      <w:r>
        <w:rPr>
          <w:b w:val="0"/>
          <w:sz w:val="32"/>
          <w:szCs w:val="32"/>
        </w:rPr>
        <w:t>纠纷解决</w:t>
      </w:r>
      <w:bookmarkEnd w:id="32"/>
      <w:bookmarkEnd w:id="33"/>
      <w:bookmarkEnd w:id="34"/>
      <w:bookmarkEnd w:id="35"/>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7.1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会员应当指定部门受理客户投诉，承担客户投诉处理的首要责任，完善建立投诉处理机制，公开处理流程和办理情况，并按照本所要求将与交易相关的客户投诉及处理情况向本所报告。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7.2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对因不可抗力、意外事件、技术故障等造成的重大交易异常情况，会员应当按照本所相关业务规则的规定，核实有关情况，及时向本所报告，并根据本所要求积极配合处置。</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7.3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会员之间、会员与客户之间发生的业务纠纷，会员应当妥善处理并记录有关情况，以备本所查阅。</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7.4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会员之间、会员与客户之间发生的业务纠纷可能影响正常交易的，相关会员应当自该情形出现之日起</w:t>
      </w:r>
      <w:r w:rsidRPr="00765228">
        <w:rPr>
          <w:rFonts w:ascii="Times New Roman" w:eastAsia="仿宋" w:hAnsi="Times New Roman" w:cs="Times New Roman"/>
          <w:color w:val="000000"/>
          <w:sz w:val="32"/>
          <w:szCs w:val="32"/>
        </w:rPr>
        <w:t>2</w:t>
      </w:r>
      <w:r w:rsidRPr="00765228">
        <w:rPr>
          <w:rFonts w:ascii="Times New Roman" w:eastAsia="仿宋" w:hAnsi="Times New Roman" w:cs="Times New Roman"/>
          <w:color w:val="000000"/>
          <w:sz w:val="32"/>
          <w:szCs w:val="32"/>
        </w:rPr>
        <w:t>个交易日内向本所报告。</w:t>
      </w:r>
    </w:p>
    <w:p w:rsidR="00765228" w:rsidRPr="00765228" w:rsidRDefault="006C4D7F" w:rsidP="00F45D80">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7.5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会员之间发生的业务纠纷，可以通过自行协商解决、提请证券期货纠纷调解机构调解、向仲裁机构申请仲裁或者向人民法院提起诉讼等方式解决。</w:t>
      </w:r>
    </w:p>
    <w:p w:rsidR="00765228" w:rsidRPr="00765228" w:rsidRDefault="006C4D7F" w:rsidP="00F45D80">
      <w:pPr>
        <w:pStyle w:val="1"/>
        <w:spacing w:before="240" w:after="240" w:line="600" w:lineRule="exact"/>
        <w:rPr>
          <w:b w:val="0"/>
          <w:sz w:val="32"/>
          <w:szCs w:val="32"/>
        </w:rPr>
      </w:pPr>
      <w:bookmarkStart w:id="36" w:name="_Toc72082134"/>
      <w:bookmarkStart w:id="37" w:name="_Toc491347706"/>
      <w:bookmarkStart w:id="38" w:name="_Toc72054880"/>
      <w:bookmarkStart w:id="39" w:name="_Toc72081406"/>
      <w:r>
        <w:rPr>
          <w:b w:val="0"/>
          <w:sz w:val="32"/>
          <w:szCs w:val="32"/>
        </w:rPr>
        <w:t>第八章</w:t>
      </w:r>
      <w:r>
        <w:rPr>
          <w:b w:val="0"/>
          <w:sz w:val="32"/>
          <w:szCs w:val="32"/>
        </w:rPr>
        <w:t xml:space="preserve">  </w:t>
      </w:r>
      <w:r>
        <w:rPr>
          <w:b w:val="0"/>
          <w:sz w:val="32"/>
          <w:szCs w:val="32"/>
        </w:rPr>
        <w:t>监督</w:t>
      </w:r>
      <w:bookmarkEnd w:id="36"/>
      <w:bookmarkEnd w:id="37"/>
      <w:bookmarkEnd w:id="38"/>
      <w:bookmarkEnd w:id="39"/>
      <w:r>
        <w:rPr>
          <w:b w:val="0"/>
          <w:sz w:val="32"/>
          <w:szCs w:val="32"/>
        </w:rPr>
        <w:t>管理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8.1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应当积极配合本所监管，按照本所要求及时说明情况，提供相关的业务报表、账册、交易记录、原始凭证、开户资料及其他文件、资料，不得以任何理由拒绝或者拖延提供有关资料，不得提供虚假的、误导性的或者不完整的资料。</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会员应当根据本所要求，调查或协助调查指定事项，并将调查结果及时报告本所。</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8.2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本所根据监管需要，可以采取现场和非现场的方式对会员遵守本所业务规则的情况进行监督检查，并将检查结果报告中国证监会。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8.3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本所根据审慎监管原则，可以要求会员对证券交易等业务活动的开展情况进行自查，并提交专项自查报告。</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8.4</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本所对会员及其客户的证券交易行为实行实时监控，重点监控可能影响证券交易价格或者证券交易量的异常交易行为。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8.5</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本所根据监管需要，可以对会员采取口头问询、限期报告说明情况、调阅相关资料、现场调查等日常监管工作措施。</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lastRenderedPageBreak/>
        <w:t>8.6</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会员及其相关业务人员违反本规则或本所其他相关规定的，本所可以视情节轻重采取以下自律监管措施：</w:t>
      </w:r>
    </w:p>
    <w:p w:rsidR="00DE3F40"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（一）口头警示；</w:t>
      </w:r>
    </w:p>
    <w:p w:rsidR="000053AD" w:rsidRPr="00765228" w:rsidRDefault="000053AD"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（二）监管</w:t>
      </w:r>
      <w:r>
        <w:rPr>
          <w:rFonts w:ascii="Times New Roman" w:eastAsia="仿宋" w:hAnsi="Times New Roman" w:cs="Times New Roman"/>
          <w:color w:val="000000"/>
          <w:sz w:val="32"/>
          <w:szCs w:val="32"/>
        </w:rPr>
        <w:t>关注；</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w:t>
      </w:r>
      <w:r w:rsidR="000053AD">
        <w:rPr>
          <w:rFonts w:ascii="Times New Roman" w:eastAsia="仿宋" w:hAnsi="Times New Roman" w:cs="Times New Roman" w:hint="eastAsia"/>
          <w:color w:val="000000"/>
          <w:sz w:val="32"/>
          <w:szCs w:val="32"/>
        </w:rPr>
        <w:t>三</w:t>
      </w:r>
      <w:r w:rsidRPr="00765228">
        <w:rPr>
          <w:rFonts w:ascii="Times New Roman" w:eastAsia="仿宋" w:hAnsi="Times New Roman" w:cs="Times New Roman"/>
          <w:color w:val="000000"/>
          <w:sz w:val="32"/>
          <w:szCs w:val="32"/>
        </w:rPr>
        <w:t>）约见谈话；</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w:t>
      </w:r>
      <w:r w:rsidR="000053AD">
        <w:rPr>
          <w:rFonts w:ascii="Times New Roman" w:eastAsia="仿宋" w:hAnsi="Times New Roman" w:cs="Times New Roman" w:hint="eastAsia"/>
          <w:color w:val="000000"/>
          <w:sz w:val="32"/>
          <w:szCs w:val="32"/>
        </w:rPr>
        <w:t>四</w:t>
      </w:r>
      <w:r w:rsidRPr="00765228">
        <w:rPr>
          <w:rFonts w:ascii="Times New Roman" w:eastAsia="仿宋" w:hAnsi="Times New Roman" w:cs="Times New Roman"/>
          <w:color w:val="000000"/>
          <w:sz w:val="32"/>
          <w:szCs w:val="32"/>
        </w:rPr>
        <w:t>）要求提交书面承诺；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0053AD">
        <w:rPr>
          <w:rFonts w:ascii="Times New Roman" w:eastAsia="仿宋" w:hAnsi="Times New Roman" w:cs="Times New Roman" w:hint="eastAsia"/>
          <w:color w:val="000000"/>
          <w:sz w:val="32"/>
          <w:szCs w:val="32"/>
        </w:rPr>
        <w:t>（</w:t>
      </w:r>
      <w:r w:rsidR="000053AD">
        <w:rPr>
          <w:rFonts w:ascii="Times New Roman" w:eastAsia="仿宋" w:hAnsi="Times New Roman" w:cs="Times New Roman" w:hint="eastAsia"/>
          <w:color w:val="000000"/>
          <w:sz w:val="32"/>
          <w:szCs w:val="32"/>
        </w:rPr>
        <w:t>五</w:t>
      </w:r>
      <w:r w:rsidRPr="000053AD">
        <w:rPr>
          <w:rFonts w:ascii="Times New Roman" w:eastAsia="仿宋" w:hAnsi="Times New Roman" w:cs="Times New Roman" w:hint="eastAsia"/>
          <w:color w:val="000000"/>
          <w:sz w:val="32"/>
          <w:szCs w:val="32"/>
        </w:rPr>
        <w:t>）</w:t>
      </w:r>
      <w:r w:rsidR="000053AD" w:rsidRPr="00BB405C">
        <w:rPr>
          <w:rFonts w:ascii="Times New Roman" w:eastAsia="仿宋" w:hAnsi="Times New Roman" w:cs="Times New Roman" w:hint="eastAsia"/>
          <w:color w:val="000000"/>
          <w:sz w:val="32"/>
          <w:szCs w:val="32"/>
        </w:rPr>
        <w:t>出具警示函</w:t>
      </w:r>
      <w:r w:rsidRPr="000053AD">
        <w:rPr>
          <w:rFonts w:ascii="Times New Roman" w:eastAsia="仿宋" w:hAnsi="Times New Roman" w:cs="Times New Roman" w:hint="eastAsia"/>
          <w:color w:val="000000"/>
          <w:sz w:val="32"/>
          <w:szCs w:val="32"/>
        </w:rPr>
        <w:t>；</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w:t>
      </w:r>
      <w:r w:rsidR="000053AD">
        <w:rPr>
          <w:rFonts w:ascii="Times New Roman" w:eastAsia="仿宋" w:hAnsi="Times New Roman" w:cs="Times New Roman" w:hint="eastAsia"/>
          <w:color w:val="000000"/>
          <w:sz w:val="32"/>
          <w:szCs w:val="32"/>
        </w:rPr>
        <w:t>六</w:t>
      </w:r>
      <w:r w:rsidRPr="00765228">
        <w:rPr>
          <w:rFonts w:ascii="Times New Roman" w:eastAsia="仿宋" w:hAnsi="Times New Roman" w:cs="Times New Roman"/>
          <w:color w:val="000000"/>
          <w:sz w:val="32"/>
          <w:szCs w:val="32"/>
        </w:rPr>
        <w:t>）限期改正；</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w:t>
      </w:r>
      <w:r w:rsidR="000053AD">
        <w:rPr>
          <w:rFonts w:ascii="Times New Roman" w:eastAsia="仿宋" w:hAnsi="Times New Roman" w:cs="Times New Roman" w:hint="eastAsia"/>
          <w:color w:val="000000"/>
          <w:sz w:val="32"/>
          <w:szCs w:val="32"/>
        </w:rPr>
        <w:t>七</w:t>
      </w:r>
      <w:r w:rsidRPr="00765228">
        <w:rPr>
          <w:rFonts w:ascii="Times New Roman" w:eastAsia="仿宋" w:hAnsi="Times New Roman" w:cs="Times New Roman"/>
          <w:color w:val="000000"/>
          <w:sz w:val="32"/>
          <w:szCs w:val="32"/>
        </w:rPr>
        <w:t>）</w:t>
      </w:r>
      <w:r w:rsidR="007101B4">
        <w:rPr>
          <w:rFonts w:ascii="仿宋" w:eastAsia="仿宋" w:hAnsi="仿宋" w:cs="Times New Roman"/>
          <w:sz w:val="32"/>
          <w:szCs w:val="32"/>
        </w:rPr>
        <w:t>暂停受理或办理相关业务</w:t>
      </w:r>
      <w:r w:rsidRPr="00765228">
        <w:rPr>
          <w:rFonts w:ascii="Times New Roman" w:eastAsia="仿宋" w:hAnsi="Times New Roman" w:cs="Times New Roman"/>
          <w:color w:val="000000"/>
          <w:sz w:val="32"/>
          <w:szCs w:val="32"/>
        </w:rPr>
        <w:t>；</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w:t>
      </w:r>
      <w:r w:rsidR="000053AD">
        <w:rPr>
          <w:rFonts w:ascii="Times New Roman" w:eastAsia="仿宋" w:hAnsi="Times New Roman" w:cs="Times New Roman" w:hint="eastAsia"/>
          <w:color w:val="000000"/>
          <w:sz w:val="32"/>
          <w:szCs w:val="32"/>
        </w:rPr>
        <w:t>八</w:t>
      </w:r>
      <w:r w:rsidRPr="00765228">
        <w:rPr>
          <w:rFonts w:ascii="Times New Roman" w:eastAsia="仿宋" w:hAnsi="Times New Roman" w:cs="Times New Roman"/>
          <w:color w:val="000000"/>
          <w:sz w:val="32"/>
          <w:szCs w:val="32"/>
        </w:rPr>
        <w:t>）本所规定的其他自律监管措施。</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8.7</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会员及其相关业务人员严重违反本规则或本所其他相关规定的，本所可以视情节轻重采取以下纪律处分：</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（一）通报批评；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（二）公开谴责；</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w:t>
      </w:r>
      <w:r w:rsidR="00377F47">
        <w:rPr>
          <w:rStyle w:val="fontstyle01"/>
          <w:rFonts w:hint="default"/>
        </w:rPr>
        <w:t>暂不受理机构或者其从业人员出具的相关业务文件</w:t>
      </w:r>
      <w:r w:rsidRPr="00765228">
        <w:rPr>
          <w:rFonts w:ascii="Times New Roman" w:eastAsia="仿宋" w:hAnsi="Times New Roman" w:cs="Times New Roman"/>
          <w:color w:val="000000"/>
          <w:sz w:val="32"/>
          <w:szCs w:val="32"/>
        </w:rPr>
        <w:t>；</w:t>
      </w:r>
    </w:p>
    <w:p w:rsidR="00DE3F40"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（四）收取惩罚性违约金；</w:t>
      </w:r>
    </w:p>
    <w:p w:rsidR="00D255FF" w:rsidRDefault="00D255FF" w:rsidP="00835DBE">
      <w:pPr>
        <w:pStyle w:val="a6"/>
        <w:widowControl w:val="0"/>
        <w:spacing w:before="0" w:beforeAutospacing="0" w:after="0" w:afterAutospacing="0" w:line="600" w:lineRule="exact"/>
        <w:ind w:firstLineChars="200" w:firstLine="640"/>
        <w:jc w:val="both"/>
        <w:rPr>
          <w:rFonts w:ascii="仿宋" w:eastAsia="仿宋" w:hAnsi="仿宋" w:cs="Times New Roman"/>
          <w:sz w:val="32"/>
          <w:szCs w:val="32"/>
        </w:rPr>
      </w:pPr>
      <w:r>
        <w:rPr>
          <w:rFonts w:ascii="Times New Roman" w:eastAsia="仿宋" w:hAnsi="Times New Roman" w:cs="Times New Roman" w:hint="eastAsia"/>
          <w:color w:val="000000"/>
          <w:sz w:val="32"/>
          <w:szCs w:val="32"/>
        </w:rPr>
        <w:t>（五）</w:t>
      </w:r>
      <w:r w:rsidRPr="0013302C">
        <w:rPr>
          <w:rFonts w:ascii="仿宋" w:eastAsia="仿宋" w:hAnsi="仿宋" w:cs="Times New Roman" w:hint="eastAsia"/>
          <w:sz w:val="32"/>
          <w:szCs w:val="32"/>
        </w:rPr>
        <w:t>暂停或者限制交易权限</w:t>
      </w:r>
      <w:r>
        <w:rPr>
          <w:rFonts w:ascii="仿宋" w:eastAsia="仿宋" w:hAnsi="仿宋" w:cs="Times New Roman" w:hint="eastAsia"/>
          <w:sz w:val="32"/>
          <w:szCs w:val="32"/>
        </w:rPr>
        <w:t>；</w:t>
      </w:r>
    </w:p>
    <w:p w:rsidR="00D255FF" w:rsidRPr="00D255FF" w:rsidRDefault="00D255F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Pr>
          <w:rFonts w:ascii="仿宋" w:eastAsia="仿宋" w:hAnsi="仿宋" w:cs="Times New Roman" w:hint="eastAsia"/>
          <w:sz w:val="32"/>
          <w:szCs w:val="32"/>
        </w:rPr>
        <w:t>（六）</w:t>
      </w:r>
      <w:r w:rsidRPr="0013302C">
        <w:rPr>
          <w:rFonts w:ascii="仿宋" w:eastAsia="仿宋" w:hAnsi="仿宋" w:cs="Times New Roman" w:hint="eastAsia"/>
          <w:sz w:val="32"/>
          <w:szCs w:val="32"/>
        </w:rPr>
        <w:t>取消交易权限</w:t>
      </w:r>
      <w:r>
        <w:rPr>
          <w:rFonts w:ascii="仿宋" w:eastAsia="仿宋" w:hAnsi="仿宋" w:cs="Times New Roman" w:hint="eastAsia"/>
          <w:sz w:val="32"/>
          <w:szCs w:val="32"/>
        </w:rPr>
        <w:t>；</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w:t>
      </w:r>
      <w:r w:rsidR="00D255FF">
        <w:rPr>
          <w:rFonts w:ascii="Times New Roman" w:eastAsia="仿宋" w:hAnsi="Times New Roman" w:cs="Times New Roman" w:hint="eastAsia"/>
          <w:color w:val="000000"/>
          <w:sz w:val="32"/>
          <w:szCs w:val="32"/>
        </w:rPr>
        <w:t>七</w:t>
      </w:r>
      <w:r w:rsidRPr="00765228">
        <w:rPr>
          <w:rFonts w:ascii="Times New Roman" w:eastAsia="仿宋" w:hAnsi="Times New Roman" w:cs="Times New Roman"/>
          <w:color w:val="000000"/>
          <w:sz w:val="32"/>
          <w:szCs w:val="32"/>
        </w:rPr>
        <w:t>）取消会员资格；</w:t>
      </w:r>
    </w:p>
    <w:p w:rsidR="00765228" w:rsidRPr="00765228" w:rsidRDefault="006C4D7F" w:rsidP="0031666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w:t>
      </w:r>
      <w:r w:rsidR="00D255FF">
        <w:rPr>
          <w:rFonts w:ascii="Times New Roman" w:eastAsia="仿宋" w:hAnsi="Times New Roman" w:cs="Times New Roman" w:hint="eastAsia"/>
          <w:color w:val="000000"/>
          <w:sz w:val="32"/>
          <w:szCs w:val="32"/>
        </w:rPr>
        <w:t>八</w:t>
      </w:r>
      <w:r w:rsidRPr="00765228">
        <w:rPr>
          <w:rFonts w:ascii="Times New Roman" w:eastAsia="仿宋" w:hAnsi="Times New Roman" w:cs="Times New Roman"/>
          <w:color w:val="000000"/>
          <w:sz w:val="32"/>
          <w:szCs w:val="32"/>
        </w:rPr>
        <w:t>）本所规定的其他纪律处分。</w:t>
      </w:r>
      <w:bookmarkStart w:id="40" w:name="_Toc491347708"/>
    </w:p>
    <w:p w:rsidR="00765228" w:rsidRPr="00765228" w:rsidRDefault="006C4D7F" w:rsidP="00F45D80">
      <w:pPr>
        <w:pStyle w:val="1"/>
        <w:spacing w:before="240" w:after="240" w:line="600" w:lineRule="exact"/>
        <w:rPr>
          <w:b w:val="0"/>
          <w:sz w:val="32"/>
          <w:szCs w:val="32"/>
        </w:rPr>
      </w:pPr>
      <w:bookmarkStart w:id="41" w:name="_Toc72082135"/>
      <w:bookmarkStart w:id="42" w:name="_Toc72081407"/>
      <w:bookmarkStart w:id="43" w:name="_Toc72054881"/>
      <w:r>
        <w:rPr>
          <w:b w:val="0"/>
          <w:sz w:val="32"/>
          <w:szCs w:val="32"/>
        </w:rPr>
        <w:lastRenderedPageBreak/>
        <w:t>第九章</w:t>
      </w:r>
      <w:r>
        <w:rPr>
          <w:b w:val="0"/>
          <w:sz w:val="32"/>
          <w:szCs w:val="32"/>
        </w:rPr>
        <w:t xml:space="preserve">  </w:t>
      </w:r>
      <w:r>
        <w:rPr>
          <w:b w:val="0"/>
          <w:sz w:val="32"/>
          <w:szCs w:val="32"/>
        </w:rPr>
        <w:t>附</w:t>
      </w:r>
      <w:r>
        <w:rPr>
          <w:b w:val="0"/>
          <w:sz w:val="32"/>
          <w:szCs w:val="32"/>
        </w:rPr>
        <w:t xml:space="preserve">  </w:t>
      </w:r>
      <w:r>
        <w:rPr>
          <w:b w:val="0"/>
          <w:sz w:val="32"/>
          <w:szCs w:val="32"/>
        </w:rPr>
        <w:t>则</w:t>
      </w:r>
      <w:bookmarkEnd w:id="40"/>
      <w:bookmarkEnd w:id="41"/>
      <w:bookmarkEnd w:id="42"/>
      <w:bookmarkEnd w:id="43"/>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9.1</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本规则下列用语具有如下含义：</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（一）普通会员：指经本所同意，有权在本所市场从事证券交易及相关业务的境内证券经营机构。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（二）特别会员：指经本所同意的符合中国证监会规定的境外证券经营机构驻华代表处。</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（三）交易单元：指交易参与人向本所申请设立的、参与本所证券交易</w:t>
      </w:r>
      <w:r w:rsidR="00760A2E">
        <w:rPr>
          <w:rFonts w:ascii="Times New Roman" w:eastAsia="仿宋" w:hAnsi="Times New Roman" w:cs="Times New Roman" w:hint="eastAsia"/>
          <w:color w:val="000000"/>
          <w:sz w:val="32"/>
          <w:szCs w:val="32"/>
        </w:rPr>
        <w:t>，</w:t>
      </w:r>
      <w:r w:rsidRPr="00765228">
        <w:rPr>
          <w:rFonts w:ascii="Times New Roman" w:eastAsia="仿宋" w:hAnsi="Times New Roman" w:cs="Times New Roman"/>
          <w:color w:val="000000"/>
          <w:sz w:val="32"/>
          <w:szCs w:val="32"/>
        </w:rPr>
        <w:t>并接受本所服务及管理的基本业务单位。</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（四）异常交易行为：指《北京证券交易所交易规则（试行）》等本所业务规则规定的异常交易行为。</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（五）证券交易信息：指证券依照一定规则在本所集中交易产生的，经本所加工形成的有关证券交易的即时行情、证券指数、交易数据和证券交易公开信息等信息。</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（六）交易及相关系统：指交易系统、做市报价系统、行情系统、通信系统及其备份系统等会员开展相关业务所需的技术系统。</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本规则未定义的用语，其定义依照法律、行政法规、部门规章、规范性文件及本所相关业务规则确定。</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9.2</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本规则制定需经本所董事会通过，并报中国证监会批准，修改时亦同。</w:t>
      </w:r>
    </w:p>
    <w:p w:rsidR="00DE3F40" w:rsidRPr="00765228" w:rsidRDefault="006C4D7F" w:rsidP="00835DBE">
      <w:pPr>
        <w:pStyle w:val="a6"/>
        <w:widowControl w:val="0"/>
        <w:spacing w:before="0" w:beforeAutospacing="0" w:after="0" w:afterAutospacing="0" w:line="600" w:lineRule="exact"/>
        <w:ind w:firstLineChars="200" w:firstLine="640"/>
        <w:jc w:val="both"/>
        <w:rPr>
          <w:rFonts w:ascii="Times New Roman" w:eastAsia="仿宋" w:hAnsi="Times New Roman" w:cs="Times New Roman"/>
          <w:color w:val="000000"/>
          <w:sz w:val="32"/>
          <w:szCs w:val="32"/>
        </w:rPr>
      </w:pPr>
      <w:r w:rsidRPr="00765228">
        <w:rPr>
          <w:rFonts w:ascii="Times New Roman" w:eastAsia="仿宋" w:hAnsi="Times New Roman" w:cs="Times New Roman"/>
          <w:color w:val="000000"/>
          <w:sz w:val="32"/>
          <w:szCs w:val="32"/>
        </w:rPr>
        <w:t>9.3</w:t>
      </w:r>
      <w:r w:rsidR="002F78CF" w:rsidRPr="00765228">
        <w:rPr>
          <w:rFonts w:ascii="Times New Roman" w:eastAsia="仿宋" w:hAnsi="Times New Roman" w:cs="Times New Roman"/>
          <w:color w:val="000000"/>
          <w:sz w:val="32"/>
          <w:szCs w:val="32"/>
        </w:rPr>
        <w:t xml:space="preserve"> </w:t>
      </w:r>
      <w:r w:rsidRPr="00765228">
        <w:rPr>
          <w:rFonts w:ascii="Times New Roman" w:eastAsia="仿宋" w:hAnsi="Times New Roman" w:cs="Times New Roman"/>
          <w:color w:val="000000"/>
          <w:sz w:val="32"/>
          <w:szCs w:val="32"/>
        </w:rPr>
        <w:t>本规则由本所负责解释。</w:t>
      </w:r>
    </w:p>
    <w:p w:rsidR="00F915BB" w:rsidRPr="00122199" w:rsidRDefault="006C4D7F" w:rsidP="00F45D80">
      <w:pPr>
        <w:shd w:val="clear" w:color="auto" w:fill="FFFFFF"/>
        <w:spacing w:line="600" w:lineRule="exact"/>
        <w:ind w:firstLineChars="200" w:firstLine="640"/>
        <w:rPr>
          <w:rFonts w:eastAsia="仿宋"/>
          <w:sz w:val="32"/>
          <w:szCs w:val="32"/>
        </w:rPr>
      </w:pPr>
      <w:r w:rsidRPr="00765228">
        <w:rPr>
          <w:rFonts w:eastAsia="仿宋"/>
          <w:color w:val="000000"/>
          <w:sz w:val="32"/>
          <w:szCs w:val="32"/>
        </w:rPr>
        <w:t>9.4</w:t>
      </w:r>
      <w:r w:rsidR="002F78CF" w:rsidRPr="00765228">
        <w:rPr>
          <w:rFonts w:eastAsia="仿宋"/>
          <w:color w:val="000000"/>
          <w:sz w:val="32"/>
          <w:szCs w:val="32"/>
        </w:rPr>
        <w:t xml:space="preserve"> </w:t>
      </w:r>
      <w:r w:rsidRPr="00765228">
        <w:rPr>
          <w:rFonts w:eastAsia="仿宋"/>
          <w:color w:val="000000"/>
          <w:sz w:val="32"/>
          <w:szCs w:val="32"/>
        </w:rPr>
        <w:t>本规则</w:t>
      </w:r>
      <w:r w:rsidR="006F32A0" w:rsidRPr="006012CB">
        <w:rPr>
          <w:rFonts w:eastAsia="仿宋"/>
          <w:sz w:val="32"/>
          <w:szCs w:val="32"/>
        </w:rPr>
        <w:t>自</w:t>
      </w:r>
      <w:r w:rsidR="006F32A0">
        <w:rPr>
          <w:rFonts w:eastAsia="仿宋" w:hint="eastAsia"/>
          <w:sz w:val="32"/>
          <w:szCs w:val="32"/>
        </w:rPr>
        <w:t>2021</w:t>
      </w:r>
      <w:r w:rsidR="006F32A0">
        <w:rPr>
          <w:rFonts w:eastAsia="仿宋" w:hint="eastAsia"/>
          <w:sz w:val="32"/>
          <w:szCs w:val="32"/>
        </w:rPr>
        <w:t>年</w:t>
      </w:r>
      <w:r w:rsidR="00DA2ED5">
        <w:rPr>
          <w:rFonts w:eastAsia="仿宋"/>
          <w:sz w:val="32"/>
          <w:szCs w:val="32"/>
        </w:rPr>
        <w:t>11</w:t>
      </w:r>
      <w:r w:rsidR="006F32A0">
        <w:rPr>
          <w:rFonts w:eastAsia="仿宋"/>
          <w:sz w:val="32"/>
          <w:szCs w:val="32"/>
        </w:rPr>
        <w:t>月</w:t>
      </w:r>
      <w:r w:rsidR="00DA2ED5">
        <w:rPr>
          <w:rFonts w:eastAsia="仿宋"/>
          <w:sz w:val="32"/>
          <w:szCs w:val="32"/>
        </w:rPr>
        <w:t>15</w:t>
      </w:r>
      <w:bookmarkStart w:id="44" w:name="_GoBack"/>
      <w:bookmarkEnd w:id="44"/>
      <w:r w:rsidR="006F32A0" w:rsidRPr="006012CB">
        <w:rPr>
          <w:rFonts w:eastAsia="仿宋"/>
          <w:sz w:val="32"/>
          <w:szCs w:val="32"/>
        </w:rPr>
        <w:t>日起施行</w:t>
      </w:r>
      <w:r w:rsidRPr="00765228">
        <w:rPr>
          <w:rFonts w:eastAsia="仿宋"/>
          <w:sz w:val="32"/>
          <w:szCs w:val="32"/>
        </w:rPr>
        <w:t>。</w:t>
      </w:r>
    </w:p>
    <w:sectPr w:rsidR="00F915BB" w:rsidRPr="00122199" w:rsidSect="00835DBE">
      <w:footerReference w:type="even" r:id="rId7"/>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41" w:rsidRDefault="004A7441">
      <w:r>
        <w:separator/>
      </w:r>
    </w:p>
  </w:endnote>
  <w:endnote w:type="continuationSeparator" w:id="0">
    <w:p w:rsidR="004A7441" w:rsidRDefault="004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921152"/>
      <w:docPartObj>
        <w:docPartGallery w:val="Page Numbers (Bottom of Page)"/>
        <w:docPartUnique/>
      </w:docPartObj>
    </w:sdtPr>
    <w:sdtEndPr>
      <w:rPr>
        <w:rFonts w:asciiTheme="minorEastAsia" w:hAnsiTheme="minorEastAsia"/>
        <w:sz w:val="28"/>
        <w:szCs w:val="28"/>
      </w:rPr>
    </w:sdtEndPr>
    <w:sdtContent>
      <w:p w:rsidR="00F45D80" w:rsidRPr="00F45D80" w:rsidRDefault="00F45D80">
        <w:pPr>
          <w:pStyle w:val="a4"/>
          <w:rPr>
            <w:rFonts w:asciiTheme="minorEastAsia" w:hAnsiTheme="minorEastAsia"/>
            <w:sz w:val="28"/>
            <w:szCs w:val="28"/>
          </w:rPr>
        </w:pPr>
        <w:r w:rsidRPr="00F45D80">
          <w:rPr>
            <w:rFonts w:asciiTheme="minorEastAsia" w:hAnsiTheme="minorEastAsia"/>
            <w:sz w:val="28"/>
            <w:szCs w:val="28"/>
          </w:rPr>
          <w:fldChar w:fldCharType="begin"/>
        </w:r>
        <w:r w:rsidRPr="00F45D80">
          <w:rPr>
            <w:rFonts w:asciiTheme="minorEastAsia" w:hAnsiTheme="minorEastAsia"/>
            <w:sz w:val="28"/>
            <w:szCs w:val="28"/>
          </w:rPr>
          <w:instrText>PAGE   \* MERGEFORMAT</w:instrText>
        </w:r>
        <w:r w:rsidRPr="00F45D80">
          <w:rPr>
            <w:rFonts w:asciiTheme="minorEastAsia" w:hAnsiTheme="minorEastAsia"/>
            <w:sz w:val="28"/>
            <w:szCs w:val="28"/>
          </w:rPr>
          <w:fldChar w:fldCharType="separate"/>
        </w:r>
        <w:r w:rsidR="00DA2ED5" w:rsidRPr="00DA2ED5">
          <w:rPr>
            <w:rFonts w:asciiTheme="minorEastAsia" w:hAnsiTheme="minorEastAsia"/>
            <w:noProof/>
            <w:sz w:val="28"/>
            <w:szCs w:val="28"/>
            <w:lang w:val="zh-CN"/>
          </w:rPr>
          <w:t>-</w:t>
        </w:r>
        <w:r w:rsidR="00DA2ED5">
          <w:rPr>
            <w:rFonts w:asciiTheme="minorEastAsia" w:hAnsiTheme="minorEastAsia"/>
            <w:noProof/>
            <w:sz w:val="28"/>
            <w:szCs w:val="28"/>
          </w:rPr>
          <w:t xml:space="preserve"> 22 -</w:t>
        </w:r>
        <w:r w:rsidRPr="00F45D80">
          <w:rPr>
            <w:rFonts w:asciiTheme="minorEastAsia" w:hAnsiTheme="minorEastAsia"/>
            <w:sz w:val="28"/>
            <w:szCs w:val="28"/>
          </w:rPr>
          <w:fldChar w:fldCharType="end"/>
        </w:r>
      </w:p>
    </w:sdtContent>
  </w:sdt>
  <w:p w:rsidR="00DE3F40" w:rsidRDefault="00DE3F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40" w:rsidRDefault="006C4D7F">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3F40" w:rsidRDefault="006C4D7F">
                          <w:pPr>
                            <w:pStyle w:val="a4"/>
                            <w:jc w:val="cente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PAGE   \* MERGEFORMAT</w:instrText>
                          </w:r>
                          <w:r>
                            <w:rPr>
                              <w:rFonts w:asciiTheme="majorEastAsia" w:eastAsiaTheme="majorEastAsia" w:hAnsiTheme="majorEastAsia" w:cstheme="majorEastAsia" w:hint="eastAsia"/>
                              <w:sz w:val="28"/>
                              <w:szCs w:val="28"/>
                            </w:rPr>
                            <w:fldChar w:fldCharType="separate"/>
                          </w:r>
                          <w:r w:rsidR="00DA2ED5" w:rsidRPr="00DA2ED5">
                            <w:rPr>
                              <w:rFonts w:asciiTheme="majorEastAsia" w:eastAsiaTheme="majorEastAsia" w:hAnsiTheme="majorEastAsia" w:cstheme="majorEastAsia"/>
                              <w:noProof/>
                              <w:sz w:val="28"/>
                              <w:szCs w:val="28"/>
                              <w:lang w:val="zh-CN"/>
                            </w:rPr>
                            <w:t>-</w:t>
                          </w:r>
                          <w:r w:rsidR="00DA2ED5">
                            <w:rPr>
                              <w:rFonts w:asciiTheme="majorEastAsia" w:eastAsiaTheme="majorEastAsia" w:hAnsiTheme="majorEastAsia" w:cstheme="majorEastAsia"/>
                              <w:noProof/>
                              <w:sz w:val="28"/>
                              <w:szCs w:val="28"/>
                            </w:rPr>
                            <w:t xml:space="preserve"> 23 -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E3F40" w:rsidRDefault="006C4D7F">
                    <w:pPr>
                      <w:pStyle w:val="a4"/>
                      <w:jc w:val="cente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PAGE   \* MERGEFORMAT</w:instrText>
                    </w:r>
                    <w:r>
                      <w:rPr>
                        <w:rFonts w:asciiTheme="majorEastAsia" w:eastAsiaTheme="majorEastAsia" w:hAnsiTheme="majorEastAsia" w:cstheme="majorEastAsia" w:hint="eastAsia"/>
                        <w:sz w:val="28"/>
                        <w:szCs w:val="28"/>
                      </w:rPr>
                      <w:fldChar w:fldCharType="separate"/>
                    </w:r>
                    <w:r w:rsidR="00DA2ED5" w:rsidRPr="00DA2ED5">
                      <w:rPr>
                        <w:rFonts w:asciiTheme="majorEastAsia" w:eastAsiaTheme="majorEastAsia" w:hAnsiTheme="majorEastAsia" w:cstheme="majorEastAsia"/>
                        <w:noProof/>
                        <w:sz w:val="28"/>
                        <w:szCs w:val="28"/>
                        <w:lang w:val="zh-CN"/>
                      </w:rPr>
                      <w:t>-</w:t>
                    </w:r>
                    <w:r w:rsidR="00DA2ED5">
                      <w:rPr>
                        <w:rFonts w:asciiTheme="majorEastAsia" w:eastAsiaTheme="majorEastAsia" w:hAnsiTheme="majorEastAsia" w:cstheme="majorEastAsia"/>
                        <w:noProof/>
                        <w:sz w:val="28"/>
                        <w:szCs w:val="28"/>
                      </w:rPr>
                      <w:t xml:space="preserve"> 23 -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41" w:rsidRDefault="004A7441">
      <w:r>
        <w:separator/>
      </w:r>
    </w:p>
  </w:footnote>
  <w:footnote w:type="continuationSeparator" w:id="0">
    <w:p w:rsidR="004A7441" w:rsidRDefault="004A7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39"/>
    <w:rsid w:val="000053AD"/>
    <w:rsid w:val="000350D9"/>
    <w:rsid w:val="00047603"/>
    <w:rsid w:val="00064228"/>
    <w:rsid w:val="00090EF2"/>
    <w:rsid w:val="000A671D"/>
    <w:rsid w:val="000B2069"/>
    <w:rsid w:val="000B4A4D"/>
    <w:rsid w:val="000C1D2E"/>
    <w:rsid w:val="000E213B"/>
    <w:rsid w:val="000F45E9"/>
    <w:rsid w:val="00112956"/>
    <w:rsid w:val="0011409F"/>
    <w:rsid w:val="00122199"/>
    <w:rsid w:val="00137322"/>
    <w:rsid w:val="001479A6"/>
    <w:rsid w:val="0016085F"/>
    <w:rsid w:val="00164874"/>
    <w:rsid w:val="00193EE9"/>
    <w:rsid w:val="00197081"/>
    <w:rsid w:val="001E353A"/>
    <w:rsid w:val="00201986"/>
    <w:rsid w:val="002240F5"/>
    <w:rsid w:val="00225A1C"/>
    <w:rsid w:val="002470F6"/>
    <w:rsid w:val="00252EE6"/>
    <w:rsid w:val="0025792D"/>
    <w:rsid w:val="002B2BEE"/>
    <w:rsid w:val="002C2474"/>
    <w:rsid w:val="002D26B0"/>
    <w:rsid w:val="002E380D"/>
    <w:rsid w:val="002E6135"/>
    <w:rsid w:val="002F198C"/>
    <w:rsid w:val="002F254D"/>
    <w:rsid w:val="002F78CF"/>
    <w:rsid w:val="0031666E"/>
    <w:rsid w:val="00344053"/>
    <w:rsid w:val="00362ABA"/>
    <w:rsid w:val="00377F47"/>
    <w:rsid w:val="003869B8"/>
    <w:rsid w:val="003B2817"/>
    <w:rsid w:val="003C7EA7"/>
    <w:rsid w:val="003E2934"/>
    <w:rsid w:val="003E474C"/>
    <w:rsid w:val="003F58F8"/>
    <w:rsid w:val="003F6F7B"/>
    <w:rsid w:val="00404D3A"/>
    <w:rsid w:val="00461511"/>
    <w:rsid w:val="0046208D"/>
    <w:rsid w:val="00467972"/>
    <w:rsid w:val="0048199C"/>
    <w:rsid w:val="00484D17"/>
    <w:rsid w:val="00486086"/>
    <w:rsid w:val="00496838"/>
    <w:rsid w:val="004A7441"/>
    <w:rsid w:val="004B1E9F"/>
    <w:rsid w:val="004B6EFA"/>
    <w:rsid w:val="004D2610"/>
    <w:rsid w:val="004D6CA8"/>
    <w:rsid w:val="004D78E2"/>
    <w:rsid w:val="004E3F9C"/>
    <w:rsid w:val="004F17F4"/>
    <w:rsid w:val="004F5089"/>
    <w:rsid w:val="0050120A"/>
    <w:rsid w:val="00504290"/>
    <w:rsid w:val="005061D0"/>
    <w:rsid w:val="0051132B"/>
    <w:rsid w:val="00513F3D"/>
    <w:rsid w:val="0051499A"/>
    <w:rsid w:val="0054092B"/>
    <w:rsid w:val="005522E2"/>
    <w:rsid w:val="00560230"/>
    <w:rsid w:val="00566B67"/>
    <w:rsid w:val="00573A2A"/>
    <w:rsid w:val="00573CF6"/>
    <w:rsid w:val="005828A9"/>
    <w:rsid w:val="0058362D"/>
    <w:rsid w:val="005B6018"/>
    <w:rsid w:val="005C7FAF"/>
    <w:rsid w:val="005E1C8D"/>
    <w:rsid w:val="005E7BA6"/>
    <w:rsid w:val="00602482"/>
    <w:rsid w:val="00610CA6"/>
    <w:rsid w:val="006203C5"/>
    <w:rsid w:val="00635362"/>
    <w:rsid w:val="00643FE1"/>
    <w:rsid w:val="0065452B"/>
    <w:rsid w:val="006577FF"/>
    <w:rsid w:val="006711A9"/>
    <w:rsid w:val="0067377A"/>
    <w:rsid w:val="006767CC"/>
    <w:rsid w:val="00676E01"/>
    <w:rsid w:val="00694C3C"/>
    <w:rsid w:val="006B4B38"/>
    <w:rsid w:val="006C4D7F"/>
    <w:rsid w:val="006D472C"/>
    <w:rsid w:val="006E0854"/>
    <w:rsid w:val="006E17F3"/>
    <w:rsid w:val="006E43EF"/>
    <w:rsid w:val="006F03D3"/>
    <w:rsid w:val="006F2826"/>
    <w:rsid w:val="006F32A0"/>
    <w:rsid w:val="007002EA"/>
    <w:rsid w:val="0070141B"/>
    <w:rsid w:val="00704A20"/>
    <w:rsid w:val="007101B4"/>
    <w:rsid w:val="00710D43"/>
    <w:rsid w:val="00715F1F"/>
    <w:rsid w:val="0071725F"/>
    <w:rsid w:val="007241A8"/>
    <w:rsid w:val="00725103"/>
    <w:rsid w:val="00734466"/>
    <w:rsid w:val="007434DB"/>
    <w:rsid w:val="00744760"/>
    <w:rsid w:val="0074633C"/>
    <w:rsid w:val="00760A2E"/>
    <w:rsid w:val="00765228"/>
    <w:rsid w:val="00785A88"/>
    <w:rsid w:val="007A2C48"/>
    <w:rsid w:val="007A5CFA"/>
    <w:rsid w:val="007B1B4E"/>
    <w:rsid w:val="007C4D30"/>
    <w:rsid w:val="007D1CD0"/>
    <w:rsid w:val="00807D46"/>
    <w:rsid w:val="0082458F"/>
    <w:rsid w:val="00833B5C"/>
    <w:rsid w:val="00835DBE"/>
    <w:rsid w:val="00837D92"/>
    <w:rsid w:val="00847BE5"/>
    <w:rsid w:val="008514B1"/>
    <w:rsid w:val="00864FA1"/>
    <w:rsid w:val="00870778"/>
    <w:rsid w:val="00880D87"/>
    <w:rsid w:val="00891661"/>
    <w:rsid w:val="008A1E9F"/>
    <w:rsid w:val="008A4FE6"/>
    <w:rsid w:val="008C1D93"/>
    <w:rsid w:val="008C61DF"/>
    <w:rsid w:val="008D11CF"/>
    <w:rsid w:val="008D60E0"/>
    <w:rsid w:val="008F1BF7"/>
    <w:rsid w:val="00902C61"/>
    <w:rsid w:val="00940268"/>
    <w:rsid w:val="0094161E"/>
    <w:rsid w:val="00950498"/>
    <w:rsid w:val="00953958"/>
    <w:rsid w:val="00984363"/>
    <w:rsid w:val="00994AEE"/>
    <w:rsid w:val="009B0CFA"/>
    <w:rsid w:val="009B727A"/>
    <w:rsid w:val="009C10FA"/>
    <w:rsid w:val="009C28B8"/>
    <w:rsid w:val="009C514F"/>
    <w:rsid w:val="009C5443"/>
    <w:rsid w:val="009F4B48"/>
    <w:rsid w:val="00A0400D"/>
    <w:rsid w:val="00A40961"/>
    <w:rsid w:val="00A41E42"/>
    <w:rsid w:val="00A43871"/>
    <w:rsid w:val="00A55C9C"/>
    <w:rsid w:val="00A63E2B"/>
    <w:rsid w:val="00A65738"/>
    <w:rsid w:val="00AB2F9A"/>
    <w:rsid w:val="00AD5EF7"/>
    <w:rsid w:val="00B04A60"/>
    <w:rsid w:val="00B057F4"/>
    <w:rsid w:val="00B25E26"/>
    <w:rsid w:val="00B26838"/>
    <w:rsid w:val="00B47F00"/>
    <w:rsid w:val="00B526ED"/>
    <w:rsid w:val="00B70BB8"/>
    <w:rsid w:val="00B977B8"/>
    <w:rsid w:val="00B979DA"/>
    <w:rsid w:val="00BB405C"/>
    <w:rsid w:val="00BC168B"/>
    <w:rsid w:val="00BC1A3D"/>
    <w:rsid w:val="00BC556C"/>
    <w:rsid w:val="00BD513C"/>
    <w:rsid w:val="00BD5FED"/>
    <w:rsid w:val="00BD61CC"/>
    <w:rsid w:val="00BE48DB"/>
    <w:rsid w:val="00BF683B"/>
    <w:rsid w:val="00C22383"/>
    <w:rsid w:val="00C223CE"/>
    <w:rsid w:val="00C22D2A"/>
    <w:rsid w:val="00C32103"/>
    <w:rsid w:val="00C816A2"/>
    <w:rsid w:val="00C83356"/>
    <w:rsid w:val="00C83E2A"/>
    <w:rsid w:val="00C85A4A"/>
    <w:rsid w:val="00C93EB0"/>
    <w:rsid w:val="00C94DBC"/>
    <w:rsid w:val="00C969A0"/>
    <w:rsid w:val="00CB12AA"/>
    <w:rsid w:val="00CB60FF"/>
    <w:rsid w:val="00CC07C5"/>
    <w:rsid w:val="00CC6804"/>
    <w:rsid w:val="00CD2B2D"/>
    <w:rsid w:val="00CE0A19"/>
    <w:rsid w:val="00CF4E03"/>
    <w:rsid w:val="00CF52DB"/>
    <w:rsid w:val="00CF6ED1"/>
    <w:rsid w:val="00D05653"/>
    <w:rsid w:val="00D14BEE"/>
    <w:rsid w:val="00D23DB9"/>
    <w:rsid w:val="00D255FF"/>
    <w:rsid w:val="00D3111D"/>
    <w:rsid w:val="00D33FDC"/>
    <w:rsid w:val="00D3445B"/>
    <w:rsid w:val="00D57F65"/>
    <w:rsid w:val="00D63CD3"/>
    <w:rsid w:val="00D7186D"/>
    <w:rsid w:val="00D84DF6"/>
    <w:rsid w:val="00DA2ED5"/>
    <w:rsid w:val="00DA3822"/>
    <w:rsid w:val="00DD42F5"/>
    <w:rsid w:val="00DE3F40"/>
    <w:rsid w:val="00E015FE"/>
    <w:rsid w:val="00E07F1E"/>
    <w:rsid w:val="00E10B91"/>
    <w:rsid w:val="00E23E7C"/>
    <w:rsid w:val="00E254A6"/>
    <w:rsid w:val="00E870F1"/>
    <w:rsid w:val="00EA387B"/>
    <w:rsid w:val="00EC5277"/>
    <w:rsid w:val="00EC772B"/>
    <w:rsid w:val="00ED4382"/>
    <w:rsid w:val="00EF7E31"/>
    <w:rsid w:val="00F035D5"/>
    <w:rsid w:val="00F04871"/>
    <w:rsid w:val="00F11B9D"/>
    <w:rsid w:val="00F14324"/>
    <w:rsid w:val="00F35D8C"/>
    <w:rsid w:val="00F40272"/>
    <w:rsid w:val="00F43666"/>
    <w:rsid w:val="00F44604"/>
    <w:rsid w:val="00F45D80"/>
    <w:rsid w:val="00F53854"/>
    <w:rsid w:val="00F56D39"/>
    <w:rsid w:val="00F57014"/>
    <w:rsid w:val="00F636F7"/>
    <w:rsid w:val="00F63E81"/>
    <w:rsid w:val="00F707E6"/>
    <w:rsid w:val="00F755E6"/>
    <w:rsid w:val="00F85278"/>
    <w:rsid w:val="00F915BB"/>
    <w:rsid w:val="00F93005"/>
    <w:rsid w:val="00FA01AE"/>
    <w:rsid w:val="00FE4C41"/>
    <w:rsid w:val="00FF1594"/>
    <w:rsid w:val="00FF7231"/>
    <w:rsid w:val="45DC529D"/>
    <w:rsid w:val="5E9E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2EFB1-18DA-43CF-B50E-DFF33C2D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line="560" w:lineRule="exact"/>
      <w:jc w:val="center"/>
      <w:outlineLvl w:val="0"/>
    </w:pPr>
    <w:rPr>
      <w:rFonts w:eastAsia="黑体"/>
      <w:b/>
      <w:bCs/>
      <w:kern w:val="44"/>
      <w:sz w:val="30"/>
      <w:szCs w:val="44"/>
    </w:rPr>
  </w:style>
  <w:style w:type="paragraph" w:styleId="2">
    <w:name w:val="heading 2"/>
    <w:basedOn w:val="a"/>
    <w:next w:val="a"/>
    <w:link w:val="2Char"/>
    <w:uiPriority w:val="9"/>
    <w:qFormat/>
    <w:pPr>
      <w:keepNext/>
      <w:keepLines/>
      <w:spacing w:line="560" w:lineRule="exact"/>
      <w:jc w:val="center"/>
      <w:outlineLvl w:val="1"/>
    </w:pPr>
    <w:rPr>
      <w:rFonts w:ascii="Calibri Light" w:eastAsia="仿宋" w:hAnsi="Calibri Light"/>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pPr>
      <w:tabs>
        <w:tab w:val="right" w:leader="dot" w:pos="8302"/>
      </w:tabs>
      <w:spacing w:line="560" w:lineRule="exact"/>
    </w:pPr>
    <w:rPr>
      <w:rFonts w:ascii="仿宋" w:eastAsia="仿宋" w:hAnsi="仿宋"/>
      <w:b/>
      <w:sz w:val="30"/>
      <w:szCs w:val="30"/>
    </w:rPr>
  </w:style>
  <w:style w:type="paragraph" w:styleId="20">
    <w:name w:val="toc 2"/>
    <w:basedOn w:val="a"/>
    <w:next w:val="a"/>
    <w:uiPriority w:val="39"/>
    <w:unhideWhenUsed/>
    <w:pPr>
      <w:widowControl/>
      <w:spacing w:after="100" w:line="259" w:lineRule="auto"/>
      <w:ind w:left="220"/>
      <w:jc w:val="left"/>
    </w:pPr>
    <w:rPr>
      <w:rFonts w:ascii="Calibri" w:hAnsi="Calibri"/>
      <w:kern w:val="0"/>
      <w:sz w:val="22"/>
      <w:szCs w:val="22"/>
    </w:rPr>
  </w:style>
  <w:style w:type="paragraph" w:styleId="a6">
    <w:name w:val="Normal (Web)"/>
    <w:basedOn w:val="a"/>
    <w:link w:val="Char2"/>
    <w:uiPriority w:val="99"/>
    <w:pPr>
      <w:widowControl/>
      <w:spacing w:before="100" w:beforeAutospacing="1" w:after="100" w:afterAutospacing="1"/>
      <w:jc w:val="left"/>
    </w:pPr>
    <w:rPr>
      <w:rFonts w:ascii="宋体" w:hAnsi="宋体" w:cs="宋体"/>
      <w:kern w:val="0"/>
      <w:sz w:val="24"/>
      <w:szCs w:val="24"/>
    </w:rPr>
  </w:style>
  <w:style w:type="character" w:styleId="a7">
    <w:name w:val="page number"/>
  </w:style>
  <w:style w:type="character" w:styleId="a8">
    <w:name w:val="Hyperlink"/>
    <w:uiPriority w:val="99"/>
    <w:unhideWhenUsed/>
    <w:qFormat/>
    <w:rPr>
      <w:color w:val="0563C1"/>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黑体" w:hAnsi="Times New Roman" w:cs="Times New Roman"/>
      <w:b/>
      <w:bCs/>
      <w:kern w:val="44"/>
      <w:sz w:val="30"/>
      <w:szCs w:val="44"/>
    </w:rPr>
  </w:style>
  <w:style w:type="character" w:customStyle="1" w:styleId="2Char">
    <w:name w:val="标题 2 Char"/>
    <w:basedOn w:val="a0"/>
    <w:link w:val="2"/>
    <w:uiPriority w:val="9"/>
    <w:qFormat/>
    <w:rPr>
      <w:rFonts w:ascii="Calibri Light" w:eastAsia="仿宋" w:hAnsi="Calibri Light" w:cs="Times New Roman"/>
      <w:b/>
      <w:bCs/>
      <w:sz w:val="30"/>
      <w:szCs w:val="32"/>
    </w:rPr>
  </w:style>
  <w:style w:type="character" w:customStyle="1" w:styleId="Char2">
    <w:name w:val="普通(网站) Char"/>
    <w:link w:val="a6"/>
    <w:uiPriority w:val="99"/>
    <w:qFormat/>
    <w:rPr>
      <w:rFonts w:ascii="宋体" w:eastAsia="宋体" w:hAnsi="宋体" w:cs="宋体"/>
      <w:kern w:val="0"/>
      <w:sz w:val="24"/>
      <w:szCs w:val="24"/>
    </w:rPr>
  </w:style>
  <w:style w:type="paragraph" w:customStyle="1" w:styleId="a9">
    <w:name w:val="一级标题"/>
    <w:basedOn w:val="a6"/>
    <w:link w:val="Char3"/>
    <w:qFormat/>
    <w:pPr>
      <w:spacing w:before="0" w:beforeAutospacing="0" w:after="0" w:afterAutospacing="0" w:line="600" w:lineRule="exact"/>
      <w:jc w:val="center"/>
      <w:outlineLvl w:val="0"/>
    </w:pPr>
    <w:rPr>
      <w:rFonts w:ascii="黑体" w:eastAsia="黑体" w:hAnsi="ˎ̥"/>
      <w:b/>
      <w:color w:val="000000"/>
      <w:sz w:val="30"/>
      <w:szCs w:val="30"/>
    </w:rPr>
  </w:style>
  <w:style w:type="character" w:customStyle="1" w:styleId="Char3">
    <w:name w:val="一级标题 Char"/>
    <w:link w:val="a9"/>
    <w:qFormat/>
    <w:rPr>
      <w:rFonts w:ascii="黑体" w:eastAsia="黑体" w:hAnsi="ˎ̥" w:cs="宋体"/>
      <w:b/>
      <w:color w:val="000000"/>
      <w:kern w:val="0"/>
      <w:sz w:val="30"/>
      <w:szCs w:val="30"/>
    </w:rPr>
  </w:style>
  <w:style w:type="paragraph" w:customStyle="1" w:styleId="TOC1">
    <w:name w:val="TOC 标题1"/>
    <w:basedOn w:val="1"/>
    <w:next w:val="a"/>
    <w:uiPriority w:val="39"/>
    <w:qFormat/>
    <w:pPr>
      <w:widowControl/>
      <w:spacing w:before="240" w:line="259" w:lineRule="auto"/>
      <w:jc w:val="left"/>
      <w:outlineLvl w:val="9"/>
    </w:pPr>
    <w:rPr>
      <w:rFonts w:ascii="Calibri Light" w:eastAsia="宋体" w:hAnsi="Calibri Light"/>
      <w:b w:val="0"/>
      <w:bCs w:val="0"/>
      <w:color w:val="2E74B5"/>
      <w:kern w:val="0"/>
      <w:sz w:val="32"/>
      <w:szCs w:val="3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fontstyle01">
    <w:name w:val="fontstyle01"/>
    <w:basedOn w:val="a0"/>
    <w:rsid w:val="00377F47"/>
    <w:rPr>
      <w:rFonts w:ascii="仿宋" w:eastAsia="仿宋" w:hAnsi="仿宋"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2021-09-03T13:57:00Z</cp:lastPrinted>
  <dcterms:created xsi:type="dcterms:W3CDTF">2021-08-26T01:17:00Z</dcterms:created>
  <dcterms:modified xsi:type="dcterms:W3CDTF">2021-11-01T10:20:00Z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