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after="0" w:line="600" w:lineRule="exact"/>
        <w:jc w:val="both"/>
        <w:rPr>
          <w:rFonts w:ascii="方正大标宋简体" w:hAnsi="黑体" w:eastAsia="方正大标宋简体"/>
          <w:color w:val="auto"/>
          <w:sz w:val="44"/>
          <w:szCs w:val="44"/>
        </w:rPr>
      </w:pPr>
    </w:p>
    <w:p>
      <w:pPr>
        <w:pStyle w:val="15"/>
        <w:spacing w:before="0" w:after="0" w:line="600" w:lineRule="exact"/>
        <w:rPr>
          <w:rFonts w:ascii="方正大标宋简体" w:hAnsi="黑体" w:eastAsia="方正大标宋简体"/>
          <w:color w:val="auto"/>
          <w:sz w:val="44"/>
          <w:szCs w:val="44"/>
        </w:rPr>
      </w:pPr>
      <w:r>
        <w:rPr>
          <w:rFonts w:hint="eastAsia" w:ascii="方正大标宋简体" w:hAnsi="黑体" w:eastAsia="方正大标宋简体"/>
          <w:color w:val="auto"/>
          <w:sz w:val="44"/>
          <w:szCs w:val="44"/>
        </w:rPr>
        <w:t>北京证券交易所自律监管措施和纪律处分</w:t>
      </w:r>
    </w:p>
    <w:p>
      <w:pPr>
        <w:pStyle w:val="15"/>
        <w:spacing w:before="0" w:after="0" w:line="600" w:lineRule="exact"/>
        <w:rPr>
          <w:rFonts w:ascii="方正大标宋简体" w:hAnsi="黑体" w:eastAsia="方正大标宋简体"/>
          <w:color w:val="auto"/>
          <w:sz w:val="44"/>
          <w:szCs w:val="44"/>
        </w:rPr>
      </w:pPr>
      <w:r>
        <w:rPr>
          <w:rFonts w:hint="eastAsia" w:ascii="方正大标宋简体" w:hAnsi="黑体" w:eastAsia="方正大标宋简体"/>
          <w:color w:val="auto"/>
          <w:sz w:val="44"/>
          <w:szCs w:val="44"/>
        </w:rPr>
        <w:t>实施细则</w:t>
      </w:r>
    </w:p>
    <w:p>
      <w:pPr>
        <w:spacing w:before="240" w:after="240" w:line="600" w:lineRule="exact"/>
        <w:jc w:val="center"/>
        <w:rPr>
          <w:rFonts w:ascii="黑体" w:hAnsi="黑体" w:eastAsia="黑体" w:cs="Times New Roman"/>
          <w:sz w:val="32"/>
          <w:szCs w:val="32"/>
        </w:rPr>
      </w:pPr>
      <w:bookmarkStart w:id="0" w:name="_Toc2687589"/>
      <w:r>
        <w:rPr>
          <w:rFonts w:ascii="黑体" w:hAnsi="黑体" w:eastAsia="黑体" w:cs="Times New Roman"/>
          <w:sz w:val="32"/>
          <w:szCs w:val="32"/>
        </w:rPr>
        <w:t>第一章  总</w:t>
      </w:r>
      <w:r>
        <w:rPr>
          <w:rFonts w:hint="eastAsia" w:ascii="黑体" w:hAnsi="黑体" w:eastAsia="黑体" w:cs="Times New Roman"/>
          <w:sz w:val="32"/>
          <w:szCs w:val="32"/>
        </w:rPr>
        <w:t xml:space="preserve">  </w:t>
      </w:r>
      <w:r>
        <w:rPr>
          <w:rFonts w:ascii="黑体" w:hAnsi="黑体" w:eastAsia="黑体" w:cs="Times New Roman"/>
          <w:sz w:val="32"/>
          <w:szCs w:val="32"/>
        </w:rPr>
        <w:t>则</w:t>
      </w:r>
      <w:bookmarkEnd w:id="0"/>
    </w:p>
    <w:p>
      <w:pPr>
        <w:pStyle w:val="16"/>
        <w:spacing w:line="600" w:lineRule="exact"/>
        <w:ind w:firstLine="640" w:firstLineChars="200"/>
        <w:rPr>
          <w:rFonts w:ascii="仿宋" w:hAnsi="仿宋" w:eastAsia="仿宋" w:cs="Times New Roman"/>
          <w:color w:val="auto"/>
          <w:sz w:val="32"/>
          <w:szCs w:val="32"/>
        </w:rPr>
      </w:pPr>
      <w:bookmarkStart w:id="1" w:name="_Toc2687590"/>
      <w:r>
        <w:rPr>
          <w:rFonts w:ascii="黑体" w:hAnsi="黑体" w:eastAsia="黑体" w:cs="Times New Roman"/>
          <w:color w:val="auto"/>
          <w:sz w:val="32"/>
          <w:szCs w:val="32"/>
        </w:rPr>
        <w:t>第一条</w:t>
      </w:r>
      <w:bookmarkEnd w:id="1"/>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为规范北京证券交易所（以下简称本所）自律监管措施和纪律处分</w:t>
      </w:r>
      <w:r>
        <w:rPr>
          <w:rFonts w:hint="eastAsia" w:ascii="仿宋" w:hAnsi="仿宋" w:eastAsia="仿宋" w:cs="Times New Roman"/>
          <w:color w:val="auto"/>
          <w:sz w:val="32"/>
          <w:szCs w:val="32"/>
        </w:rPr>
        <w:t>的实施</w:t>
      </w:r>
      <w:r>
        <w:rPr>
          <w:rFonts w:ascii="仿宋" w:hAnsi="仿宋" w:eastAsia="仿宋" w:cs="Times New Roman"/>
          <w:color w:val="auto"/>
          <w:sz w:val="32"/>
          <w:szCs w:val="32"/>
        </w:rPr>
        <w:t>，</w:t>
      </w:r>
      <w:r>
        <w:rPr>
          <w:rFonts w:hint="eastAsia" w:ascii="仿宋" w:hAnsi="仿宋" w:eastAsia="仿宋" w:cs="Times New Roman"/>
          <w:color w:val="auto"/>
          <w:sz w:val="32"/>
          <w:szCs w:val="32"/>
        </w:rPr>
        <w:t>有效</w:t>
      </w:r>
      <w:r>
        <w:rPr>
          <w:rFonts w:ascii="仿宋" w:hAnsi="仿宋" w:eastAsia="仿宋" w:cs="Times New Roman"/>
          <w:color w:val="auto"/>
          <w:sz w:val="32"/>
          <w:szCs w:val="32"/>
        </w:rPr>
        <w:t>履行自律监管职责，维护</w:t>
      </w:r>
      <w:r>
        <w:rPr>
          <w:rFonts w:hint="eastAsia" w:ascii="仿宋" w:hAnsi="仿宋" w:eastAsia="仿宋" w:cs="Times New Roman"/>
          <w:color w:val="auto"/>
          <w:sz w:val="32"/>
          <w:szCs w:val="32"/>
        </w:rPr>
        <w:t>证券</w:t>
      </w:r>
      <w:r>
        <w:rPr>
          <w:rFonts w:ascii="仿宋" w:hAnsi="仿宋" w:eastAsia="仿宋" w:cs="Times New Roman"/>
          <w:color w:val="auto"/>
          <w:sz w:val="32"/>
          <w:szCs w:val="32"/>
        </w:rPr>
        <w:t>市场秩序，保护市场参与人的合法权益，根据《证券交易</w:t>
      </w:r>
      <w:r>
        <w:rPr>
          <w:rFonts w:hint="eastAsia" w:ascii="仿宋" w:hAnsi="仿宋" w:eastAsia="仿宋" w:cs="Times New Roman"/>
          <w:color w:val="auto"/>
          <w:sz w:val="32"/>
          <w:szCs w:val="32"/>
        </w:rPr>
        <w:t>所管理办法</w:t>
      </w:r>
      <w:r>
        <w:rPr>
          <w:rFonts w:ascii="仿宋" w:hAnsi="仿宋" w:eastAsia="仿宋" w:cs="Times New Roman"/>
          <w:color w:val="auto"/>
          <w:sz w:val="32"/>
          <w:szCs w:val="32"/>
        </w:rPr>
        <w:t>》及本所相关业务规则，制定本细则。</w:t>
      </w:r>
    </w:p>
    <w:p>
      <w:pPr>
        <w:pStyle w:val="16"/>
        <w:spacing w:line="600" w:lineRule="exact"/>
        <w:ind w:firstLine="640" w:firstLineChars="200"/>
        <w:rPr>
          <w:rFonts w:ascii="仿宋" w:hAnsi="仿宋" w:eastAsia="仿宋" w:cs="Times New Roman"/>
          <w:color w:val="auto"/>
          <w:sz w:val="32"/>
          <w:szCs w:val="32"/>
        </w:rPr>
      </w:pPr>
      <w:bookmarkStart w:id="2" w:name="_Toc2687591"/>
      <w:r>
        <w:rPr>
          <w:rFonts w:ascii="黑体" w:hAnsi="黑体" w:eastAsia="黑体" w:cs="Times New Roman"/>
          <w:color w:val="auto"/>
          <w:sz w:val="32"/>
          <w:szCs w:val="32"/>
        </w:rPr>
        <w:t>第二条</w:t>
      </w:r>
      <w:bookmarkEnd w:id="2"/>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对违反本所业务规则的监管对象实施自律监管措施和纪律处分，适用本细则。</w:t>
      </w:r>
      <w:bookmarkStart w:id="3" w:name="_Toc2687592"/>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前款所称监管对象包括：</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（一）证券及证券衍生品种的发行人、上市公司（以下统称证券发行人）及其董事、监事、高级管理人员、股东、实际控制人、收购人、重大资产重组交易对方、破产管理人等机构及相关人员；</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 xml:space="preserve">（二）保荐机构、保荐代表人、承销商及相关人员；     </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（三）律师事务所、会计师事务所等证券服务机构（以下简称证券服务机构）及相关人员；</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（四）本所会员、其他交易参与人及相关人员；</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（五）投资者；</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（六）本所业务规则规定的其他机构和人员。</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第三条</w:t>
      </w:r>
      <w:bookmarkEnd w:id="3"/>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实施自律监管措施和纪律处分应当遵循依规、公正、及时的原则。</w:t>
      </w:r>
    </w:p>
    <w:p>
      <w:pPr>
        <w:pStyle w:val="16"/>
        <w:spacing w:line="600" w:lineRule="exact"/>
        <w:ind w:firstLine="640" w:firstLineChars="200"/>
        <w:rPr>
          <w:rFonts w:ascii="仿宋" w:hAnsi="仿宋" w:eastAsia="仿宋" w:cs="Times New Roman"/>
          <w:color w:val="auto"/>
          <w:sz w:val="32"/>
          <w:szCs w:val="32"/>
        </w:rPr>
      </w:pPr>
      <w:bookmarkStart w:id="4" w:name="_Toc2687593"/>
      <w:r>
        <w:rPr>
          <w:rFonts w:ascii="黑体" w:hAnsi="黑体" w:eastAsia="黑体" w:cs="Times New Roman"/>
          <w:color w:val="auto"/>
          <w:sz w:val="32"/>
          <w:szCs w:val="32"/>
        </w:rPr>
        <w:t>第四条</w:t>
      </w:r>
      <w:bookmarkEnd w:id="4"/>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实施自律监管措施和纪律处分应当以事实为依据，与违规行为的性质、情节以及危害程度相当。</w:t>
      </w:r>
    </w:p>
    <w:p>
      <w:pPr>
        <w:pStyle w:val="16"/>
        <w:spacing w:line="600" w:lineRule="exact"/>
        <w:ind w:firstLine="640" w:firstLineChars="200"/>
        <w:jc w:val="left"/>
        <w:rPr>
          <w:rFonts w:ascii="仿宋" w:hAnsi="仿宋" w:eastAsia="仿宋" w:cs="Times New Roman"/>
          <w:color w:val="auto"/>
          <w:sz w:val="32"/>
          <w:szCs w:val="32"/>
        </w:rPr>
      </w:pPr>
      <w:bookmarkStart w:id="5" w:name="_Toc2687594"/>
      <w:r>
        <w:rPr>
          <w:rFonts w:ascii="黑体" w:hAnsi="黑体" w:eastAsia="黑体" w:cs="Times New Roman"/>
          <w:color w:val="auto"/>
          <w:sz w:val="32"/>
          <w:szCs w:val="32"/>
        </w:rPr>
        <w:t>第五条</w:t>
      </w:r>
      <w:bookmarkEnd w:id="5"/>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自律监管措施和纪律处分可以单独或合并实施。</w:t>
      </w:r>
    </w:p>
    <w:p>
      <w:pPr>
        <w:pStyle w:val="16"/>
        <w:spacing w:line="600" w:lineRule="exact"/>
        <w:ind w:firstLine="640" w:firstLineChars="200"/>
        <w:rPr>
          <w:rFonts w:ascii="仿宋" w:hAnsi="仿宋" w:eastAsia="仿宋" w:cs="Times New Roman"/>
          <w:color w:val="auto"/>
          <w:sz w:val="32"/>
          <w:szCs w:val="32"/>
        </w:rPr>
      </w:pPr>
      <w:bookmarkStart w:id="6" w:name="_Toc2687595"/>
      <w:r>
        <w:rPr>
          <w:rFonts w:ascii="黑体" w:hAnsi="黑体" w:eastAsia="黑体" w:cs="Times New Roman"/>
          <w:color w:val="auto"/>
          <w:sz w:val="32"/>
          <w:szCs w:val="32"/>
        </w:rPr>
        <w:t>第六条</w:t>
      </w:r>
      <w:bookmarkEnd w:id="6"/>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纪律处分由本所根据纪律处分委员会的意见作出决定并实施。</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自律监管措施由本所或</w:t>
      </w:r>
      <w:r>
        <w:rPr>
          <w:rFonts w:hint="eastAsia" w:ascii="仿宋" w:hAnsi="仿宋" w:eastAsia="仿宋" w:cs="Times New Roman"/>
          <w:color w:val="auto"/>
          <w:sz w:val="32"/>
          <w:szCs w:val="32"/>
        </w:rPr>
        <w:t>其</w:t>
      </w:r>
      <w:r>
        <w:rPr>
          <w:rFonts w:ascii="仿宋" w:hAnsi="仿宋" w:eastAsia="仿宋" w:cs="Times New Roman"/>
          <w:color w:val="auto"/>
          <w:sz w:val="32"/>
          <w:szCs w:val="32"/>
        </w:rPr>
        <w:t>指定的业务部门（以下简称业务部门）</w:t>
      </w:r>
      <w:r>
        <w:rPr>
          <w:rFonts w:hint="eastAsia" w:ascii="仿宋" w:hAnsi="仿宋" w:eastAsia="仿宋" w:cs="Times New Roman"/>
          <w:color w:val="auto"/>
          <w:sz w:val="32"/>
          <w:szCs w:val="32"/>
        </w:rPr>
        <w:t>作出</w:t>
      </w:r>
      <w:r>
        <w:rPr>
          <w:rFonts w:ascii="仿宋" w:hAnsi="仿宋" w:eastAsia="仿宋" w:cs="Times New Roman"/>
          <w:color w:val="auto"/>
          <w:sz w:val="32"/>
          <w:szCs w:val="32"/>
        </w:rPr>
        <w:t>决定并实施。</w:t>
      </w:r>
    </w:p>
    <w:p>
      <w:pPr>
        <w:pStyle w:val="16"/>
        <w:spacing w:line="600" w:lineRule="exact"/>
        <w:ind w:firstLine="640" w:firstLineChars="200"/>
        <w:rPr>
          <w:rFonts w:ascii="仿宋" w:hAnsi="仿宋" w:eastAsia="仿宋" w:cs="Times New Roman"/>
          <w:color w:val="auto"/>
          <w:sz w:val="32"/>
          <w:szCs w:val="32"/>
        </w:rPr>
      </w:pPr>
      <w:bookmarkStart w:id="7" w:name="_Toc2687596"/>
      <w:r>
        <w:rPr>
          <w:rFonts w:ascii="黑体" w:hAnsi="黑体" w:eastAsia="黑体" w:cs="Times New Roman"/>
          <w:color w:val="auto"/>
          <w:sz w:val="32"/>
          <w:szCs w:val="32"/>
        </w:rPr>
        <w:t>第七条</w:t>
      </w:r>
      <w:bookmarkEnd w:id="7"/>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监管对象</w:t>
      </w:r>
      <w:r>
        <w:rPr>
          <w:rFonts w:ascii="仿宋" w:hAnsi="仿宋" w:eastAsia="仿宋" w:cs="Times New Roman"/>
          <w:color w:val="auto"/>
          <w:sz w:val="32"/>
          <w:szCs w:val="32"/>
        </w:rPr>
        <w:t>被本所</w:t>
      </w:r>
      <w:r>
        <w:rPr>
          <w:rFonts w:hint="eastAsia" w:ascii="仿宋" w:hAnsi="仿宋" w:eastAsia="仿宋" w:cs="Times New Roman"/>
          <w:color w:val="auto"/>
          <w:sz w:val="32"/>
          <w:szCs w:val="32"/>
        </w:rPr>
        <w:t>或</w:t>
      </w:r>
      <w:r>
        <w:rPr>
          <w:rFonts w:ascii="仿宋" w:hAnsi="仿宋" w:eastAsia="仿宋" w:cs="Times New Roman"/>
          <w:color w:val="auto"/>
          <w:sz w:val="32"/>
          <w:szCs w:val="32"/>
        </w:rPr>
        <w:t>业务部门实施自律监管措施</w:t>
      </w:r>
      <w:r>
        <w:rPr>
          <w:rFonts w:hint="eastAsia" w:ascii="仿宋" w:hAnsi="仿宋" w:eastAsia="仿宋" w:cs="Times New Roman"/>
          <w:color w:val="auto"/>
          <w:sz w:val="32"/>
          <w:szCs w:val="32"/>
        </w:rPr>
        <w:t>或者</w:t>
      </w:r>
      <w:r>
        <w:rPr>
          <w:rFonts w:ascii="仿宋" w:hAnsi="仿宋" w:eastAsia="仿宋" w:cs="Times New Roman"/>
          <w:color w:val="auto"/>
          <w:sz w:val="32"/>
          <w:szCs w:val="32"/>
        </w:rPr>
        <w:t>纪律处分的，应当根据要求履行相关义务。未按要求履行义务的，本所</w:t>
      </w:r>
      <w:r>
        <w:rPr>
          <w:rFonts w:hint="eastAsia" w:ascii="仿宋" w:hAnsi="仿宋" w:eastAsia="仿宋" w:cs="Times New Roman"/>
          <w:color w:val="auto"/>
          <w:sz w:val="32"/>
          <w:szCs w:val="32"/>
        </w:rPr>
        <w:t>或业务</w:t>
      </w:r>
      <w:r>
        <w:rPr>
          <w:rFonts w:ascii="仿宋" w:hAnsi="仿宋" w:eastAsia="仿宋" w:cs="Times New Roman"/>
          <w:color w:val="auto"/>
          <w:sz w:val="32"/>
          <w:szCs w:val="32"/>
        </w:rPr>
        <w:t>部门可以对其进一步实施自律监管措施或者纪律处分。</w:t>
      </w:r>
    </w:p>
    <w:p>
      <w:pPr>
        <w:pStyle w:val="16"/>
        <w:spacing w:line="600" w:lineRule="exact"/>
        <w:ind w:firstLine="640" w:firstLineChars="200"/>
        <w:rPr>
          <w:rFonts w:ascii="仿宋" w:hAnsi="仿宋" w:eastAsia="仿宋" w:cs="Times New Roman"/>
          <w:color w:val="auto"/>
          <w:sz w:val="32"/>
          <w:szCs w:val="32"/>
        </w:rPr>
      </w:pPr>
      <w:bookmarkStart w:id="8" w:name="_Toc2687597"/>
      <w:r>
        <w:rPr>
          <w:rFonts w:ascii="黑体" w:hAnsi="黑体" w:eastAsia="黑体" w:cs="Times New Roman"/>
          <w:color w:val="auto"/>
          <w:sz w:val="32"/>
          <w:szCs w:val="32"/>
        </w:rPr>
        <w:t>第八条</w:t>
      </w:r>
      <w:bookmarkEnd w:id="8"/>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行政处罚决定书、行政监管措施决定书或者生效司法裁判文书中对</w:t>
      </w:r>
      <w:r>
        <w:rPr>
          <w:rFonts w:hint="eastAsia" w:ascii="仿宋" w:hAnsi="仿宋" w:eastAsia="仿宋" w:cs="Times New Roman"/>
          <w:color w:val="auto"/>
          <w:sz w:val="32"/>
          <w:szCs w:val="32"/>
        </w:rPr>
        <w:t>相关</w:t>
      </w:r>
      <w:r>
        <w:rPr>
          <w:rFonts w:ascii="仿宋" w:hAnsi="仿宋" w:eastAsia="仿宋" w:cs="Times New Roman"/>
          <w:color w:val="auto"/>
          <w:sz w:val="32"/>
          <w:szCs w:val="32"/>
        </w:rPr>
        <w:t>事实情况作出认定的，本所</w:t>
      </w:r>
      <w:r>
        <w:rPr>
          <w:rFonts w:hint="eastAsia" w:ascii="仿宋" w:hAnsi="仿宋" w:eastAsia="仿宋" w:cs="Times New Roman"/>
          <w:color w:val="auto"/>
          <w:sz w:val="32"/>
          <w:szCs w:val="32"/>
        </w:rPr>
        <w:t>或</w:t>
      </w:r>
      <w:r>
        <w:rPr>
          <w:rFonts w:ascii="仿宋" w:hAnsi="仿宋" w:eastAsia="仿宋" w:cs="Times New Roman"/>
          <w:color w:val="auto"/>
          <w:sz w:val="32"/>
          <w:szCs w:val="32"/>
        </w:rPr>
        <w:t>业务部门可以据此认定监管</w:t>
      </w:r>
      <w:r>
        <w:rPr>
          <w:rFonts w:hint="eastAsia" w:ascii="仿宋" w:hAnsi="仿宋" w:eastAsia="仿宋" w:cs="Times New Roman"/>
          <w:color w:val="auto"/>
          <w:sz w:val="32"/>
          <w:szCs w:val="32"/>
        </w:rPr>
        <w:t>对象</w:t>
      </w:r>
      <w:r>
        <w:rPr>
          <w:rFonts w:ascii="仿宋" w:hAnsi="仿宋" w:eastAsia="仿宋" w:cs="Times New Roman"/>
          <w:color w:val="auto"/>
          <w:sz w:val="32"/>
          <w:szCs w:val="32"/>
        </w:rPr>
        <w:t>的违规事实，并实施相应的自律监管措施或者纪律处分。</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本所</w:t>
      </w:r>
      <w:r>
        <w:rPr>
          <w:rFonts w:hint="eastAsia" w:ascii="仿宋" w:hAnsi="仿宋" w:eastAsia="仿宋" w:cs="Times New Roman"/>
          <w:color w:val="auto"/>
          <w:sz w:val="32"/>
          <w:szCs w:val="32"/>
        </w:rPr>
        <w:t>或</w:t>
      </w:r>
      <w:r>
        <w:rPr>
          <w:rFonts w:ascii="仿宋" w:hAnsi="仿宋" w:eastAsia="仿宋" w:cs="Times New Roman"/>
          <w:color w:val="auto"/>
          <w:sz w:val="32"/>
          <w:szCs w:val="32"/>
        </w:rPr>
        <w:t>业务部门认定违规事实所依据的行政处罚决定书、行政监管措施决定书或者司法裁判文书被依法撤销，监管对象可以向本所</w:t>
      </w:r>
      <w:r>
        <w:rPr>
          <w:rFonts w:hint="eastAsia" w:ascii="仿宋" w:hAnsi="仿宋" w:eastAsia="仿宋" w:cs="Times New Roman"/>
          <w:color w:val="auto"/>
          <w:sz w:val="32"/>
          <w:szCs w:val="32"/>
        </w:rPr>
        <w:t>或业务</w:t>
      </w:r>
      <w:r>
        <w:rPr>
          <w:rFonts w:ascii="仿宋" w:hAnsi="仿宋" w:eastAsia="仿宋" w:cs="Times New Roman"/>
          <w:color w:val="auto"/>
          <w:sz w:val="32"/>
          <w:szCs w:val="32"/>
        </w:rPr>
        <w:t>部门书面申请撤销</w:t>
      </w:r>
      <w:r>
        <w:rPr>
          <w:rFonts w:hint="eastAsia" w:ascii="仿宋" w:hAnsi="仿宋" w:eastAsia="仿宋" w:cs="Times New Roman"/>
          <w:color w:val="auto"/>
          <w:sz w:val="32"/>
          <w:szCs w:val="32"/>
        </w:rPr>
        <w:t>自律监管</w:t>
      </w:r>
      <w:r>
        <w:rPr>
          <w:rFonts w:ascii="仿宋" w:hAnsi="仿宋" w:eastAsia="仿宋" w:cs="Times New Roman"/>
          <w:color w:val="auto"/>
          <w:sz w:val="32"/>
          <w:szCs w:val="32"/>
        </w:rPr>
        <w:t>措施</w:t>
      </w:r>
      <w:r>
        <w:rPr>
          <w:rFonts w:hint="eastAsia" w:ascii="仿宋" w:hAnsi="仿宋" w:eastAsia="仿宋" w:cs="Times New Roman"/>
          <w:color w:val="auto"/>
          <w:sz w:val="32"/>
          <w:szCs w:val="32"/>
        </w:rPr>
        <w:t>或者</w:t>
      </w:r>
      <w:r>
        <w:rPr>
          <w:rFonts w:ascii="仿宋" w:hAnsi="仿宋" w:eastAsia="仿宋" w:cs="Times New Roman"/>
          <w:color w:val="auto"/>
          <w:sz w:val="32"/>
          <w:szCs w:val="32"/>
        </w:rPr>
        <w:t>纪律处分。</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第九条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本所工作人员实施自律监管措施或者纪律处分，应当严格</w:t>
      </w:r>
      <w:r>
        <w:rPr>
          <w:rFonts w:ascii="仿宋" w:hAnsi="仿宋" w:eastAsia="仿宋" w:cs="Times New Roman"/>
          <w:color w:val="auto"/>
          <w:kern w:val="2"/>
          <w:sz w:val="32"/>
          <w:szCs w:val="32"/>
          <w:lang w:val="en-US"/>
        </w:rPr>
        <w:t>遵纪守法</w:t>
      </w:r>
      <w:r>
        <w:rPr>
          <w:rFonts w:ascii="仿宋" w:hAnsi="仿宋" w:eastAsia="仿宋" w:cs="Times New Roman"/>
          <w:color w:val="auto"/>
          <w:sz w:val="32"/>
          <w:szCs w:val="32"/>
        </w:rPr>
        <w:t>，公正廉洁，不得利用职务便利谋取不正当利益，不得泄露所知悉的监管对象的商业秘密。</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第十条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本所工作人员</w:t>
      </w:r>
      <w:r>
        <w:rPr>
          <w:rFonts w:ascii="仿宋" w:hAnsi="仿宋" w:eastAsia="仿宋" w:cs="Times New Roman"/>
          <w:color w:val="auto"/>
          <w:sz w:val="32"/>
          <w:szCs w:val="32"/>
        </w:rPr>
        <w:t>与自律监管</w:t>
      </w:r>
      <w:r>
        <w:rPr>
          <w:rFonts w:ascii="仿宋" w:hAnsi="仿宋" w:eastAsia="仿宋" w:cs="Times New Roman"/>
          <w:color w:val="auto"/>
          <w:kern w:val="2"/>
          <w:sz w:val="32"/>
          <w:szCs w:val="32"/>
          <w:lang w:val="en-US"/>
        </w:rPr>
        <w:t>措施</w:t>
      </w:r>
      <w:r>
        <w:rPr>
          <w:rFonts w:ascii="仿宋" w:hAnsi="仿宋" w:eastAsia="仿宋" w:cs="Times New Roman"/>
          <w:color w:val="auto"/>
          <w:sz w:val="32"/>
          <w:szCs w:val="32"/>
        </w:rPr>
        <w:t>或者纪律处分事项存在利害关系，可能影响自律监管措施或者纪律处分公正处理的，应当回避。</w:t>
      </w:r>
    </w:p>
    <w:p>
      <w:pPr>
        <w:adjustRightInd w:val="0"/>
        <w:snapToGrid w:val="0"/>
        <w:spacing w:line="600" w:lineRule="exact"/>
        <w:ind w:firstLine="640" w:firstLineChars="200"/>
        <w:rPr>
          <w:rFonts w:ascii="仿宋" w:hAnsi="仿宋" w:eastAsia="仿宋"/>
          <w:sz w:val="32"/>
          <w:szCs w:val="32"/>
        </w:rPr>
      </w:pPr>
      <w:r>
        <w:rPr>
          <w:rFonts w:ascii="黑体" w:hAnsi="黑体" w:eastAsia="黑体" w:cs="Times New Roman"/>
          <w:kern w:val="0"/>
          <w:sz w:val="32"/>
          <w:szCs w:val="32"/>
          <w:lang w:val="zh-CN"/>
        </w:rPr>
        <w:t>第</w:t>
      </w:r>
      <w:r>
        <w:rPr>
          <w:rFonts w:hint="eastAsia" w:ascii="黑体" w:hAnsi="黑体" w:eastAsia="黑体" w:cs="Times New Roman"/>
          <w:kern w:val="0"/>
          <w:sz w:val="32"/>
          <w:szCs w:val="32"/>
          <w:lang w:val="zh-CN"/>
        </w:rPr>
        <w:t>十一</w:t>
      </w:r>
      <w:r>
        <w:rPr>
          <w:rFonts w:ascii="黑体" w:hAnsi="黑体" w:eastAsia="黑体" w:cs="Times New Roman"/>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hint="eastAsia" w:ascii="仿宋" w:hAnsi="仿宋" w:eastAsia="仿宋"/>
          <w:sz w:val="32"/>
          <w:szCs w:val="32"/>
        </w:rPr>
        <w:t>实施自律监管措施和纪律处分，可以综合监管对象违规行为的主观因素、客观因素、监管</w:t>
      </w:r>
      <w:r>
        <w:rPr>
          <w:rFonts w:ascii="仿宋" w:hAnsi="仿宋" w:eastAsia="仿宋"/>
          <w:sz w:val="32"/>
          <w:szCs w:val="32"/>
        </w:rPr>
        <w:t>对象的职务、职责、权限及履职情况</w:t>
      </w:r>
      <w:r>
        <w:rPr>
          <w:rFonts w:hint="eastAsia" w:ascii="仿宋" w:hAnsi="仿宋" w:eastAsia="仿宋"/>
          <w:sz w:val="32"/>
          <w:szCs w:val="32"/>
        </w:rPr>
        <w:t>等</w:t>
      </w:r>
      <w:r>
        <w:rPr>
          <w:rFonts w:ascii="仿宋" w:hAnsi="仿宋" w:eastAsia="仿宋"/>
          <w:sz w:val="32"/>
          <w:szCs w:val="32"/>
        </w:rPr>
        <w:t>具体情节</w:t>
      </w:r>
      <w:r>
        <w:rPr>
          <w:rFonts w:hint="eastAsia" w:ascii="仿宋" w:hAnsi="仿宋" w:eastAsia="仿宋"/>
          <w:sz w:val="32"/>
          <w:szCs w:val="32"/>
        </w:rPr>
        <w:t>予以认定。</w:t>
      </w:r>
    </w:p>
    <w:p>
      <w:pPr>
        <w:tabs>
          <w:tab w:val="left" w:pos="2940"/>
        </w:tabs>
        <w:adjustRightInd w:val="0"/>
        <w:snapToGrid w:val="0"/>
        <w:spacing w:line="600" w:lineRule="exact"/>
        <w:ind w:firstLine="640" w:firstLineChars="200"/>
        <w:rPr>
          <w:rFonts w:ascii="仿宋" w:hAnsi="仿宋" w:eastAsia="仿宋"/>
          <w:sz w:val="32"/>
          <w:szCs w:val="32"/>
        </w:rPr>
      </w:pPr>
      <w:r>
        <w:rPr>
          <w:rFonts w:ascii="黑体" w:hAnsi="黑体" w:eastAsia="黑体" w:cs="Times New Roman"/>
          <w:kern w:val="0"/>
          <w:sz w:val="32"/>
          <w:szCs w:val="32"/>
          <w:lang w:val="zh-CN"/>
        </w:rPr>
        <w:t>第十</w:t>
      </w:r>
      <w:r>
        <w:rPr>
          <w:rFonts w:hint="eastAsia" w:ascii="黑体" w:hAnsi="黑体" w:eastAsia="黑体" w:cs="Times New Roman"/>
          <w:kern w:val="0"/>
          <w:sz w:val="32"/>
          <w:szCs w:val="32"/>
          <w:lang w:val="zh-CN"/>
        </w:rPr>
        <w:t>二</w:t>
      </w:r>
      <w:r>
        <w:rPr>
          <w:rFonts w:ascii="黑体" w:hAnsi="黑体" w:eastAsia="黑体" w:cs="Times New Roman"/>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仿宋" w:hAnsi="仿宋" w:eastAsia="仿宋"/>
          <w:sz w:val="32"/>
          <w:szCs w:val="32"/>
        </w:rPr>
        <w:t>实施自律监管措施和纪律处分时</w:t>
      </w:r>
      <w:r>
        <w:rPr>
          <w:rFonts w:hint="eastAsia" w:ascii="仿宋" w:hAnsi="仿宋" w:eastAsia="仿宋"/>
          <w:sz w:val="32"/>
          <w:szCs w:val="32"/>
        </w:rPr>
        <w:t>可以</w:t>
      </w:r>
      <w:r>
        <w:rPr>
          <w:rFonts w:ascii="仿宋" w:hAnsi="仿宋" w:eastAsia="仿宋"/>
          <w:sz w:val="32"/>
          <w:szCs w:val="32"/>
        </w:rPr>
        <w:t>综合考量的主观</w:t>
      </w:r>
      <w:r>
        <w:rPr>
          <w:rFonts w:hint="eastAsia" w:ascii="仿宋" w:hAnsi="仿宋" w:eastAsia="仿宋"/>
          <w:sz w:val="32"/>
          <w:szCs w:val="32"/>
        </w:rPr>
        <w:t>因素</w:t>
      </w:r>
      <w:r>
        <w:rPr>
          <w:rFonts w:ascii="仿宋" w:hAnsi="仿宋" w:eastAsia="仿宋"/>
          <w:sz w:val="32"/>
          <w:szCs w:val="32"/>
        </w:rPr>
        <w:t>包括：</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）违规行为发生后，</w:t>
      </w:r>
      <w:r>
        <w:rPr>
          <w:rFonts w:hint="eastAsia" w:ascii="仿宋" w:hAnsi="仿宋" w:eastAsia="仿宋"/>
          <w:sz w:val="32"/>
          <w:szCs w:val="32"/>
        </w:rPr>
        <w:t>监管对象</w:t>
      </w:r>
      <w:r>
        <w:rPr>
          <w:rFonts w:ascii="仿宋" w:hAnsi="仿宋" w:eastAsia="仿宋"/>
          <w:sz w:val="32"/>
          <w:szCs w:val="32"/>
        </w:rPr>
        <w:t>是否掩饰、隐瞒</w:t>
      </w:r>
      <w:r>
        <w:rPr>
          <w:rFonts w:hint="eastAsia" w:ascii="仿宋" w:hAnsi="仿宋" w:eastAsia="仿宋"/>
          <w:sz w:val="32"/>
          <w:szCs w:val="32"/>
        </w:rPr>
        <w:t>违规</w:t>
      </w:r>
      <w:r>
        <w:rPr>
          <w:rFonts w:ascii="仿宋" w:hAnsi="仿宋" w:eastAsia="仿宋"/>
          <w:sz w:val="32"/>
          <w:szCs w:val="32"/>
        </w:rPr>
        <w:t>事实，是否采取适当的补救、改正措施；</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）违规行为发生后，</w:t>
      </w:r>
      <w:r>
        <w:rPr>
          <w:rFonts w:hint="eastAsia" w:ascii="仿宋" w:hAnsi="仿宋" w:eastAsia="仿宋"/>
          <w:sz w:val="32"/>
          <w:szCs w:val="32"/>
        </w:rPr>
        <w:t>监管</w:t>
      </w:r>
      <w:r>
        <w:rPr>
          <w:rFonts w:ascii="仿宋" w:hAnsi="仿宋" w:eastAsia="仿宋"/>
          <w:sz w:val="32"/>
          <w:szCs w:val="32"/>
        </w:rPr>
        <w:t>对象是否及时向</w:t>
      </w:r>
      <w:r>
        <w:rPr>
          <w:rFonts w:hint="eastAsia" w:ascii="仿宋" w:hAnsi="仿宋" w:eastAsia="仿宋"/>
          <w:sz w:val="32"/>
          <w:szCs w:val="32"/>
        </w:rPr>
        <w:t>本所或者中国</w:t>
      </w:r>
      <w:r>
        <w:rPr>
          <w:rFonts w:ascii="仿宋" w:hAnsi="仿宋" w:eastAsia="仿宋"/>
          <w:sz w:val="32"/>
          <w:szCs w:val="32"/>
        </w:rPr>
        <w:t>证监会报告，是否积极配合，是否干扰、阻碍调查的进行；</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（三）其他需要考量的主观因素。</w:t>
      </w:r>
    </w:p>
    <w:p>
      <w:pPr>
        <w:adjustRightInd w:val="0"/>
        <w:snapToGrid w:val="0"/>
        <w:spacing w:line="600" w:lineRule="exact"/>
        <w:ind w:firstLine="640" w:firstLineChars="200"/>
        <w:rPr>
          <w:rFonts w:ascii="仿宋" w:hAnsi="仿宋" w:eastAsia="仿宋"/>
          <w:sz w:val="32"/>
          <w:szCs w:val="32"/>
        </w:rPr>
      </w:pPr>
      <w:r>
        <w:rPr>
          <w:rFonts w:ascii="黑体" w:hAnsi="黑体" w:eastAsia="黑体" w:cs="Times New Roman"/>
          <w:kern w:val="0"/>
          <w:sz w:val="32"/>
          <w:szCs w:val="32"/>
          <w:lang w:val="zh-CN"/>
        </w:rPr>
        <w:t>第十</w:t>
      </w:r>
      <w:r>
        <w:rPr>
          <w:rFonts w:hint="eastAsia" w:ascii="黑体" w:hAnsi="黑体" w:eastAsia="黑体" w:cs="Times New Roman"/>
          <w:kern w:val="0"/>
          <w:sz w:val="32"/>
          <w:szCs w:val="32"/>
          <w:lang w:val="zh-CN"/>
        </w:rPr>
        <w:t>三</w:t>
      </w:r>
      <w:r>
        <w:rPr>
          <w:rFonts w:ascii="黑体" w:hAnsi="黑体" w:eastAsia="黑体" w:cs="Times New Roman"/>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仿宋" w:hAnsi="仿宋" w:eastAsia="仿宋"/>
          <w:sz w:val="32"/>
          <w:szCs w:val="32"/>
        </w:rPr>
        <w:t>实施自律监管措施和纪律处分时</w:t>
      </w:r>
      <w:r>
        <w:rPr>
          <w:rFonts w:hint="eastAsia" w:ascii="仿宋" w:hAnsi="仿宋" w:eastAsia="仿宋"/>
          <w:sz w:val="32"/>
          <w:szCs w:val="32"/>
        </w:rPr>
        <w:t>可以</w:t>
      </w:r>
      <w:r>
        <w:rPr>
          <w:rFonts w:ascii="仿宋" w:hAnsi="仿宋" w:eastAsia="仿宋"/>
          <w:sz w:val="32"/>
          <w:szCs w:val="32"/>
        </w:rPr>
        <w:t>综合考量的</w:t>
      </w:r>
      <w:r>
        <w:rPr>
          <w:rFonts w:hint="eastAsia" w:ascii="仿宋" w:hAnsi="仿宋" w:eastAsia="仿宋"/>
          <w:sz w:val="32"/>
          <w:szCs w:val="32"/>
        </w:rPr>
        <w:t>客观因素</w:t>
      </w:r>
      <w:r>
        <w:rPr>
          <w:rFonts w:ascii="仿宋" w:hAnsi="仿宋" w:eastAsia="仿宋"/>
          <w:sz w:val="32"/>
          <w:szCs w:val="32"/>
        </w:rPr>
        <w:t>包括：</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）违规行为涉及的金额</w:t>
      </w:r>
      <w:r>
        <w:rPr>
          <w:rFonts w:hint="eastAsia" w:ascii="仿宋" w:hAnsi="仿宋" w:eastAsia="仿宋"/>
          <w:sz w:val="32"/>
          <w:szCs w:val="32"/>
        </w:rPr>
        <w:t>及</w:t>
      </w:r>
      <w:r>
        <w:rPr>
          <w:rFonts w:ascii="仿宋" w:hAnsi="仿宋" w:eastAsia="仿宋"/>
          <w:sz w:val="32"/>
          <w:szCs w:val="32"/>
        </w:rPr>
        <w:t>占相关数据的比重；</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）违规行为发生的次数、频率及持续的时间；</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（三）违规行为对证券交易价格、</w:t>
      </w:r>
      <w:r>
        <w:rPr>
          <w:rFonts w:ascii="仿宋" w:hAnsi="仿宋" w:eastAsia="仿宋"/>
          <w:sz w:val="32"/>
          <w:szCs w:val="32"/>
        </w:rPr>
        <w:t>交易量</w:t>
      </w:r>
      <w:r>
        <w:rPr>
          <w:rFonts w:hint="eastAsia" w:ascii="仿宋" w:hAnsi="仿宋" w:eastAsia="仿宋"/>
          <w:sz w:val="32"/>
          <w:szCs w:val="32"/>
        </w:rPr>
        <w:t>和投资者投资决策的影响程度；</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）违规行为对证券发行上市</w:t>
      </w:r>
      <w:r>
        <w:rPr>
          <w:rFonts w:hint="eastAsia" w:ascii="仿宋" w:hAnsi="仿宋" w:eastAsia="仿宋"/>
          <w:sz w:val="32"/>
          <w:szCs w:val="32"/>
        </w:rPr>
        <w:t>、</w:t>
      </w:r>
      <w:r>
        <w:rPr>
          <w:rFonts w:ascii="仿宋" w:hAnsi="仿宋" w:eastAsia="仿宋"/>
          <w:sz w:val="32"/>
          <w:szCs w:val="32"/>
        </w:rPr>
        <w:t>风险警示</w:t>
      </w:r>
      <w:r>
        <w:rPr>
          <w:rFonts w:hint="eastAsia" w:ascii="仿宋" w:hAnsi="仿宋" w:eastAsia="仿宋"/>
          <w:sz w:val="32"/>
          <w:szCs w:val="32"/>
        </w:rPr>
        <w:t>、</w:t>
      </w:r>
      <w:r>
        <w:rPr>
          <w:rFonts w:ascii="仿宋" w:hAnsi="仿宋" w:eastAsia="仿宋"/>
          <w:sz w:val="32"/>
          <w:szCs w:val="32"/>
        </w:rPr>
        <w:t>停复牌</w:t>
      </w:r>
      <w:r>
        <w:rPr>
          <w:rFonts w:hint="eastAsia" w:ascii="仿宋" w:hAnsi="仿宋" w:eastAsia="仿宋"/>
          <w:sz w:val="32"/>
          <w:szCs w:val="32"/>
        </w:rPr>
        <w:t>、</w:t>
      </w:r>
      <w:r>
        <w:rPr>
          <w:rFonts w:ascii="仿宋" w:hAnsi="仿宋" w:eastAsia="仿宋"/>
          <w:sz w:val="32"/>
          <w:szCs w:val="32"/>
        </w:rPr>
        <w:t>终止上市</w:t>
      </w:r>
      <w:r>
        <w:rPr>
          <w:rFonts w:hint="eastAsia" w:ascii="仿宋" w:hAnsi="仿宋" w:eastAsia="仿宋"/>
          <w:sz w:val="32"/>
          <w:szCs w:val="32"/>
        </w:rPr>
        <w:t>、</w:t>
      </w:r>
      <w:r>
        <w:rPr>
          <w:rFonts w:ascii="仿宋" w:hAnsi="仿宋" w:eastAsia="仿宋"/>
          <w:sz w:val="32"/>
          <w:szCs w:val="32"/>
        </w:rPr>
        <w:t>重新上市、重大资产重组、收购及权益变动、股权激励计划等事项或者条件的影响；</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）违规行为给投资者</w:t>
      </w:r>
      <w:r>
        <w:rPr>
          <w:rFonts w:hint="eastAsia" w:ascii="仿宋" w:hAnsi="仿宋" w:eastAsia="仿宋"/>
          <w:sz w:val="32"/>
          <w:szCs w:val="32"/>
        </w:rPr>
        <w:t>、</w:t>
      </w:r>
      <w:r>
        <w:rPr>
          <w:rFonts w:ascii="仿宋" w:hAnsi="仿宋" w:eastAsia="仿宋"/>
          <w:sz w:val="32"/>
          <w:szCs w:val="32"/>
        </w:rPr>
        <w:t>上市公司等造成的损失，违规</w:t>
      </w:r>
      <w:r>
        <w:rPr>
          <w:rFonts w:hint="eastAsia" w:ascii="仿宋" w:hAnsi="仿宋" w:eastAsia="仿宋"/>
          <w:sz w:val="32"/>
          <w:szCs w:val="32"/>
        </w:rPr>
        <w:t>监管</w:t>
      </w:r>
      <w:r>
        <w:rPr>
          <w:rFonts w:ascii="仿宋" w:hAnsi="仿宋" w:eastAsia="仿宋"/>
          <w:sz w:val="32"/>
          <w:szCs w:val="32"/>
        </w:rPr>
        <w:t>对象及相关方从中获取的利益；</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（六）违规行为对证券市场和证券监管造成的影响；</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）违规行为被相关行政机关、司法机关查处的情况；</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）其他需要考量的客观因素。</w:t>
      </w:r>
    </w:p>
    <w:p>
      <w:pPr>
        <w:pStyle w:val="16"/>
        <w:spacing w:line="600" w:lineRule="exact"/>
        <w:ind w:firstLine="640" w:firstLineChars="200"/>
        <w:rPr>
          <w:rStyle w:val="19"/>
          <w:rFonts w:ascii="仿宋" w:hAnsi="仿宋" w:eastAsia="仿宋" w:cs="Times New Roman"/>
          <w:color w:val="auto"/>
          <w:sz w:val="32"/>
          <w:szCs w:val="32"/>
        </w:rPr>
      </w:pPr>
      <w:r>
        <w:rPr>
          <w:rFonts w:ascii="黑体" w:hAnsi="黑体" w:eastAsia="黑体" w:cs="Times New Roman"/>
          <w:color w:val="auto"/>
          <w:sz w:val="32"/>
          <w:szCs w:val="32"/>
        </w:rPr>
        <w:t>第十</w:t>
      </w:r>
      <w:r>
        <w:rPr>
          <w:rFonts w:hint="eastAsia" w:ascii="黑体" w:hAnsi="黑体" w:eastAsia="黑体" w:cs="Times New Roman"/>
          <w:color w:val="auto"/>
          <w:sz w:val="32"/>
          <w:szCs w:val="32"/>
        </w:rPr>
        <w:t>四</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Style w:val="19"/>
          <w:rFonts w:ascii="仿宋" w:hAnsi="仿宋" w:eastAsia="仿宋" w:cs="Times New Roman"/>
          <w:color w:val="auto"/>
          <w:sz w:val="32"/>
          <w:szCs w:val="32"/>
        </w:rPr>
        <w:t>具有下列情形之一的，可以从轻、减轻</w:t>
      </w:r>
      <w:r>
        <w:rPr>
          <w:rStyle w:val="19"/>
          <w:rFonts w:hint="eastAsia" w:ascii="仿宋" w:hAnsi="仿宋" w:eastAsia="仿宋" w:cs="Times New Roman"/>
          <w:color w:val="auto"/>
          <w:sz w:val="32"/>
          <w:szCs w:val="32"/>
        </w:rPr>
        <w:t>或者</w:t>
      </w:r>
      <w:r>
        <w:rPr>
          <w:rStyle w:val="19"/>
          <w:rFonts w:ascii="仿宋" w:hAnsi="仿宋" w:eastAsia="仿宋" w:cs="Times New Roman"/>
          <w:color w:val="auto"/>
          <w:sz w:val="32"/>
          <w:szCs w:val="32"/>
        </w:rPr>
        <w:t>免</w:t>
      </w:r>
      <w:r>
        <w:rPr>
          <w:rStyle w:val="19"/>
          <w:rFonts w:hint="eastAsia" w:ascii="仿宋" w:hAnsi="仿宋" w:eastAsia="仿宋" w:cs="Times New Roman"/>
          <w:color w:val="auto"/>
          <w:sz w:val="32"/>
          <w:szCs w:val="32"/>
        </w:rPr>
        <w:t>予</w:t>
      </w:r>
      <w:r>
        <w:rPr>
          <w:rStyle w:val="19"/>
          <w:rFonts w:ascii="仿宋" w:hAnsi="仿宋" w:eastAsia="仿宋" w:cs="Times New Roman"/>
          <w:color w:val="auto"/>
          <w:sz w:val="32"/>
          <w:szCs w:val="32"/>
        </w:rPr>
        <w:t>实施自律监管措施或者纪律处分：</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w:t>
      </w:r>
      <w:r>
        <w:rPr>
          <w:rFonts w:ascii="仿宋" w:hAnsi="仿宋" w:eastAsia="仿宋" w:cs="Times New Roman"/>
          <w:color w:val="auto"/>
          <w:sz w:val="32"/>
          <w:szCs w:val="32"/>
        </w:rPr>
        <w:t>）在违规行为被发现前，积极主动采取纠正措施，并向</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或者</w:t>
      </w:r>
      <w:r>
        <w:rPr>
          <w:rFonts w:hint="eastAsia" w:ascii="仿宋" w:hAnsi="仿宋" w:eastAsia="仿宋" w:cs="Times New Roman"/>
          <w:color w:val="auto"/>
          <w:sz w:val="32"/>
          <w:szCs w:val="32"/>
        </w:rPr>
        <w:t>中国</w:t>
      </w:r>
      <w:r>
        <w:rPr>
          <w:rFonts w:ascii="仿宋" w:hAnsi="仿宋" w:eastAsia="仿宋" w:cs="Times New Roman"/>
          <w:color w:val="auto"/>
          <w:sz w:val="32"/>
          <w:szCs w:val="32"/>
        </w:rPr>
        <w:t>证监会报告；</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w:t>
      </w:r>
      <w:r>
        <w:rPr>
          <w:rFonts w:ascii="仿宋" w:hAnsi="仿宋" w:eastAsia="仿宋" w:cs="Times New Roman"/>
          <w:color w:val="auto"/>
          <w:sz w:val="32"/>
          <w:szCs w:val="32"/>
        </w:rPr>
        <w:t>）违规行为未对市场造成实际影响，或已采取</w:t>
      </w:r>
      <w:r>
        <w:rPr>
          <w:rFonts w:hint="eastAsia" w:ascii="仿宋" w:hAnsi="仿宋" w:eastAsia="仿宋" w:cs="Times New Roman"/>
          <w:color w:val="auto"/>
          <w:sz w:val="32"/>
          <w:szCs w:val="32"/>
        </w:rPr>
        <w:t>有效</w:t>
      </w:r>
      <w:r>
        <w:rPr>
          <w:rFonts w:ascii="仿宋" w:hAnsi="仿宋" w:eastAsia="仿宋" w:cs="Times New Roman"/>
          <w:color w:val="auto"/>
          <w:sz w:val="32"/>
          <w:szCs w:val="32"/>
        </w:rPr>
        <w:t>措施消除、减轻影响或风险；</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w:t>
      </w:r>
      <w:r>
        <w:rPr>
          <w:rFonts w:ascii="仿宋" w:hAnsi="仿宋" w:eastAsia="仿宋" w:cs="Times New Roman"/>
          <w:color w:val="auto"/>
          <w:sz w:val="32"/>
          <w:szCs w:val="32"/>
        </w:rPr>
        <w:t>）</w:t>
      </w:r>
      <w:r>
        <w:rPr>
          <w:rFonts w:hint="eastAsia" w:ascii="仿宋" w:hAnsi="仿宋" w:eastAsia="仿宋" w:cs="Times New Roman"/>
          <w:color w:val="auto"/>
          <w:sz w:val="32"/>
          <w:szCs w:val="32"/>
        </w:rPr>
        <w:t>在违规行为所涉期间，存在不可抗力等因素</w:t>
      </w:r>
      <w:r>
        <w:rPr>
          <w:rFonts w:ascii="仿宋" w:hAnsi="仿宋" w:eastAsia="仿宋" w:cs="Times New Roman"/>
          <w:color w:val="auto"/>
          <w:sz w:val="32"/>
          <w:szCs w:val="32"/>
        </w:rPr>
        <w:t>导致</w:t>
      </w:r>
      <w:r>
        <w:rPr>
          <w:rFonts w:hint="eastAsia" w:ascii="仿宋" w:hAnsi="仿宋" w:eastAsia="仿宋" w:cs="Times New Roman"/>
          <w:color w:val="auto"/>
          <w:sz w:val="32"/>
          <w:szCs w:val="32"/>
        </w:rPr>
        <w:t>无法正常履行职责</w:t>
      </w:r>
      <w:r>
        <w:rPr>
          <w:rFonts w:ascii="仿宋" w:hAnsi="仿宋" w:eastAsia="仿宋" w:cs="Times New Roman"/>
          <w:color w:val="auto"/>
          <w:sz w:val="32"/>
          <w:szCs w:val="32"/>
        </w:rPr>
        <w:t>；</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（四）积极配合本所采取相关措施；</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（五）本所</w:t>
      </w:r>
      <w:r>
        <w:rPr>
          <w:rFonts w:ascii="仿宋" w:hAnsi="仿宋" w:eastAsia="仿宋" w:cs="Times New Roman"/>
          <w:color w:val="auto"/>
          <w:sz w:val="32"/>
          <w:szCs w:val="32"/>
        </w:rPr>
        <w:t>认定的其他情形。</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免予实施</w:t>
      </w:r>
      <w:r>
        <w:rPr>
          <w:rFonts w:ascii="仿宋" w:hAnsi="仿宋" w:eastAsia="仿宋" w:cs="Times New Roman"/>
          <w:color w:val="auto"/>
          <w:sz w:val="32"/>
          <w:szCs w:val="32"/>
        </w:rPr>
        <w:t>自律监管措施或纪律处分的，本所</w:t>
      </w:r>
      <w:r>
        <w:rPr>
          <w:rFonts w:hint="eastAsia" w:ascii="仿宋" w:hAnsi="仿宋" w:eastAsia="仿宋" w:cs="Times New Roman"/>
          <w:color w:val="auto"/>
          <w:sz w:val="32"/>
          <w:szCs w:val="32"/>
        </w:rPr>
        <w:t>或</w:t>
      </w:r>
      <w:r>
        <w:rPr>
          <w:rFonts w:ascii="仿宋" w:hAnsi="仿宋" w:eastAsia="仿宋" w:cs="Times New Roman"/>
          <w:color w:val="auto"/>
          <w:sz w:val="32"/>
          <w:szCs w:val="32"/>
        </w:rPr>
        <w:t>业务部门可以采取其他监管方式进行处理。</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第十</w:t>
      </w:r>
      <w:r>
        <w:rPr>
          <w:rFonts w:hint="eastAsia" w:ascii="黑体" w:hAnsi="黑体" w:eastAsia="黑体" w:cs="Times New Roman"/>
          <w:color w:val="auto"/>
          <w:sz w:val="32"/>
          <w:szCs w:val="32"/>
        </w:rPr>
        <w:t>五</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具有下列情形之一的，可以从重、加重实施自律监管措施或者纪律处分：</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一</w:t>
      </w:r>
      <w:r>
        <w:rPr>
          <w:rFonts w:ascii="仿宋" w:hAnsi="仿宋" w:eastAsia="仿宋" w:cs="Times New Roman"/>
          <w:color w:val="auto"/>
          <w:sz w:val="32"/>
          <w:szCs w:val="32"/>
        </w:rPr>
        <w:t>）违规金额巨大</w:t>
      </w:r>
      <w:r>
        <w:rPr>
          <w:rFonts w:hint="eastAsia" w:ascii="仿宋" w:hAnsi="仿宋" w:eastAsia="仿宋" w:cs="Times New Roman"/>
          <w:color w:val="auto"/>
          <w:sz w:val="32"/>
          <w:szCs w:val="32"/>
        </w:rPr>
        <w:t>，</w:t>
      </w:r>
      <w:r>
        <w:rPr>
          <w:rFonts w:ascii="仿宋" w:hAnsi="仿宋" w:eastAsia="仿宋" w:cs="Times New Roman"/>
          <w:color w:val="auto"/>
          <w:sz w:val="32"/>
          <w:szCs w:val="32"/>
        </w:rPr>
        <w:t>占相关数据比重</w:t>
      </w:r>
      <w:r>
        <w:rPr>
          <w:rFonts w:hint="eastAsia" w:ascii="仿宋" w:hAnsi="仿宋" w:eastAsia="仿宋" w:cs="Times New Roman"/>
          <w:color w:val="auto"/>
          <w:sz w:val="32"/>
          <w:szCs w:val="32"/>
        </w:rPr>
        <w:t>较</w:t>
      </w:r>
      <w:r>
        <w:rPr>
          <w:rFonts w:ascii="仿宋" w:hAnsi="仿宋" w:eastAsia="仿宋" w:cs="Times New Roman"/>
          <w:color w:val="auto"/>
          <w:sz w:val="32"/>
          <w:szCs w:val="32"/>
        </w:rPr>
        <w:t>高</w:t>
      </w:r>
      <w:r>
        <w:rPr>
          <w:rFonts w:hint="eastAsia" w:ascii="仿宋" w:hAnsi="仿宋" w:eastAsia="仿宋" w:cs="Times New Roman"/>
          <w:color w:val="auto"/>
          <w:sz w:val="32"/>
          <w:szCs w:val="32"/>
        </w:rPr>
        <w:t>；</w:t>
      </w:r>
    </w:p>
    <w:p>
      <w:pPr>
        <w:pStyle w:val="16"/>
        <w:spacing w:line="60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（二</w:t>
      </w:r>
      <w:r>
        <w:rPr>
          <w:rFonts w:ascii="仿宋" w:hAnsi="仿宋" w:eastAsia="仿宋" w:cs="Times New Roman"/>
          <w:color w:val="auto"/>
          <w:sz w:val="32"/>
          <w:szCs w:val="32"/>
        </w:rPr>
        <w:t>）违规行为给投资者、上市公司等</w:t>
      </w:r>
      <w:r>
        <w:rPr>
          <w:rFonts w:hint="eastAsia" w:ascii="仿宋" w:hAnsi="仿宋" w:eastAsia="仿宋" w:cs="Times New Roman"/>
          <w:color w:val="auto"/>
          <w:sz w:val="32"/>
          <w:szCs w:val="32"/>
        </w:rPr>
        <w:t>主体</w:t>
      </w:r>
      <w:r>
        <w:rPr>
          <w:rFonts w:ascii="仿宋" w:hAnsi="仿宋" w:eastAsia="仿宋" w:cs="Times New Roman"/>
          <w:color w:val="auto"/>
          <w:sz w:val="32"/>
          <w:szCs w:val="32"/>
        </w:rPr>
        <w:t>造成较大损失</w:t>
      </w:r>
      <w:r>
        <w:rPr>
          <w:rFonts w:hint="eastAsia" w:ascii="仿宋" w:hAnsi="仿宋" w:eastAsia="仿宋" w:cs="Times New Roman"/>
          <w:color w:val="auto"/>
          <w:sz w:val="32"/>
          <w:szCs w:val="32"/>
        </w:rPr>
        <w:t>；</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w:t>
      </w:r>
      <w:r>
        <w:rPr>
          <w:rFonts w:ascii="仿宋" w:hAnsi="仿宋" w:eastAsia="仿宋" w:cs="Times New Roman"/>
          <w:color w:val="auto"/>
          <w:sz w:val="32"/>
          <w:szCs w:val="32"/>
        </w:rPr>
        <w:t>）违规行为长期持续</w:t>
      </w:r>
      <w:r>
        <w:rPr>
          <w:rFonts w:hint="eastAsia" w:ascii="仿宋" w:hAnsi="仿宋" w:eastAsia="仿宋" w:cs="Times New Roman"/>
          <w:color w:val="auto"/>
          <w:sz w:val="32"/>
          <w:szCs w:val="32"/>
        </w:rPr>
        <w:t>或</w:t>
      </w:r>
      <w:r>
        <w:rPr>
          <w:rFonts w:ascii="仿宋" w:hAnsi="仿宋" w:eastAsia="仿宋" w:cs="Times New Roman"/>
          <w:color w:val="auto"/>
          <w:sz w:val="32"/>
          <w:szCs w:val="32"/>
        </w:rPr>
        <w:t>多次发生；</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（四）存在多个不同类型的违规行为；</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五</w:t>
      </w:r>
      <w:r>
        <w:rPr>
          <w:rFonts w:ascii="仿宋" w:hAnsi="仿宋" w:eastAsia="仿宋" w:cs="Times New Roman"/>
          <w:color w:val="auto"/>
          <w:sz w:val="32"/>
          <w:szCs w:val="32"/>
        </w:rPr>
        <w:t>）违规行为导致证券交易发生异常波动</w:t>
      </w:r>
      <w:r>
        <w:rPr>
          <w:rFonts w:hint="eastAsia" w:ascii="仿宋" w:hAnsi="仿宋" w:eastAsia="仿宋" w:cs="Times New Roman"/>
          <w:color w:val="auto"/>
          <w:sz w:val="32"/>
          <w:szCs w:val="32"/>
        </w:rPr>
        <w:t>且</w:t>
      </w:r>
      <w:r>
        <w:rPr>
          <w:rFonts w:ascii="仿宋" w:hAnsi="仿宋" w:eastAsia="仿宋" w:cs="Times New Roman"/>
          <w:color w:val="auto"/>
          <w:sz w:val="32"/>
          <w:szCs w:val="32"/>
        </w:rPr>
        <w:t>情节严重；</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六</w:t>
      </w:r>
      <w:r>
        <w:rPr>
          <w:rFonts w:ascii="仿宋" w:hAnsi="仿宋" w:eastAsia="仿宋" w:cs="Times New Roman"/>
          <w:color w:val="auto"/>
          <w:sz w:val="32"/>
          <w:szCs w:val="32"/>
        </w:rPr>
        <w:t>）违规行为对市场造成恶劣影响；</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七</w:t>
      </w:r>
      <w:r>
        <w:rPr>
          <w:rFonts w:ascii="仿宋" w:hAnsi="仿宋" w:eastAsia="仿宋" w:cs="Times New Roman"/>
          <w:color w:val="auto"/>
          <w:sz w:val="32"/>
          <w:szCs w:val="32"/>
        </w:rPr>
        <w:t>）</w:t>
      </w:r>
      <w:r>
        <w:rPr>
          <w:rFonts w:hint="eastAsia" w:ascii="仿宋" w:hAnsi="仿宋" w:eastAsia="仿宋" w:cs="Times New Roman"/>
          <w:color w:val="auto"/>
          <w:sz w:val="32"/>
          <w:szCs w:val="32"/>
        </w:rPr>
        <w:t>被中国证监会行政处罚、实施行政监管措施或被本所实施纪律处分、自律监管措施后</w:t>
      </w:r>
      <w:r>
        <w:rPr>
          <w:rFonts w:ascii="Times New Roman" w:hAnsi="Times New Roman" w:eastAsia="仿宋" w:cs="Times New Roman"/>
          <w:color w:val="auto"/>
          <w:sz w:val="32"/>
          <w:szCs w:val="32"/>
        </w:rPr>
        <w:t>6</w:t>
      </w:r>
      <w:r>
        <w:rPr>
          <w:rFonts w:ascii="仿宋" w:hAnsi="仿宋" w:eastAsia="仿宋" w:cs="Times New Roman"/>
          <w:color w:val="auto"/>
          <w:sz w:val="32"/>
          <w:szCs w:val="32"/>
        </w:rPr>
        <w:t>个月内又发生同类违法违规行为；</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八</w:t>
      </w:r>
      <w:r>
        <w:rPr>
          <w:rFonts w:ascii="仿宋" w:hAnsi="仿宋" w:eastAsia="仿宋" w:cs="Times New Roman"/>
          <w:color w:val="auto"/>
          <w:sz w:val="32"/>
          <w:szCs w:val="32"/>
        </w:rPr>
        <w:t>）干扰、阻碍调查或者拒不配合</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采取相关措施；</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w:t>
      </w:r>
      <w:r>
        <w:rPr>
          <w:rFonts w:ascii="仿宋" w:hAnsi="仿宋" w:eastAsia="仿宋" w:cs="Times New Roman"/>
          <w:color w:val="auto"/>
          <w:sz w:val="32"/>
          <w:szCs w:val="32"/>
        </w:rPr>
        <w:t>）</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认定的其他情节严重情形。</w:t>
      </w:r>
      <w:bookmarkStart w:id="9" w:name="_Toc2687599"/>
    </w:p>
    <w:p>
      <w:pPr>
        <w:pStyle w:val="16"/>
        <w:spacing w:before="240" w:after="240" w:line="600" w:lineRule="exact"/>
        <w:ind w:firstLine="0"/>
        <w:jc w:val="center"/>
        <w:rPr>
          <w:rFonts w:ascii="黑体" w:hAnsi="黑体" w:eastAsia="黑体" w:cs="Times New Roman"/>
          <w:color w:val="auto"/>
          <w:sz w:val="32"/>
          <w:szCs w:val="32"/>
        </w:rPr>
      </w:pPr>
      <w:r>
        <w:rPr>
          <w:rFonts w:ascii="黑体" w:hAnsi="黑体" w:eastAsia="黑体" w:cs="Times New Roman"/>
          <w:color w:val="auto"/>
          <w:sz w:val="32"/>
          <w:szCs w:val="32"/>
        </w:rPr>
        <w:t>第二章</w:t>
      </w:r>
      <w:r>
        <w:rPr>
          <w:rFonts w:hint="eastAsia" w:ascii="黑体" w:hAnsi="黑体" w:eastAsia="黑体" w:cs="Times New Roman"/>
          <w:color w:val="auto"/>
          <w:sz w:val="32"/>
          <w:szCs w:val="32"/>
        </w:rPr>
        <w:t xml:space="preserve">  </w:t>
      </w:r>
      <w:r>
        <w:rPr>
          <w:rFonts w:ascii="黑体" w:hAnsi="黑体" w:eastAsia="黑体" w:cs="Times New Roman"/>
          <w:color w:val="auto"/>
          <w:sz w:val="32"/>
          <w:szCs w:val="32"/>
        </w:rPr>
        <w:t>自律监管措施</w:t>
      </w:r>
      <w:bookmarkEnd w:id="9"/>
    </w:p>
    <w:p>
      <w:pPr>
        <w:pStyle w:val="16"/>
        <w:spacing w:before="240" w:after="240" w:line="600" w:lineRule="exact"/>
        <w:ind w:firstLine="0"/>
        <w:jc w:val="center"/>
        <w:rPr>
          <w:rFonts w:ascii="楷体" w:hAnsi="楷体" w:eastAsia="楷体" w:cs="Times New Roman"/>
          <w:color w:val="auto"/>
          <w:sz w:val="32"/>
          <w:szCs w:val="32"/>
        </w:rPr>
      </w:pPr>
      <w:r>
        <w:rPr>
          <w:rFonts w:ascii="楷体" w:hAnsi="楷体" w:eastAsia="楷体" w:cs="Times New Roman"/>
          <w:color w:val="auto"/>
          <w:sz w:val="32"/>
          <w:szCs w:val="32"/>
        </w:rPr>
        <w:t>第一节</w:t>
      </w:r>
      <w:r>
        <w:rPr>
          <w:rFonts w:hint="eastAsia" w:ascii="楷体" w:hAnsi="楷体" w:eastAsia="楷体" w:cs="Times New Roman"/>
          <w:color w:val="auto"/>
          <w:sz w:val="32"/>
          <w:szCs w:val="32"/>
        </w:rPr>
        <w:t xml:space="preserve">  自律监管</w:t>
      </w:r>
      <w:r>
        <w:rPr>
          <w:rFonts w:ascii="楷体" w:hAnsi="楷体" w:eastAsia="楷体" w:cs="Times New Roman"/>
          <w:color w:val="auto"/>
          <w:sz w:val="32"/>
          <w:szCs w:val="32"/>
        </w:rPr>
        <w:t>措施的种类</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第十</w:t>
      </w:r>
      <w:r>
        <w:rPr>
          <w:rFonts w:hint="eastAsia" w:ascii="黑体" w:hAnsi="黑体" w:eastAsia="黑体" w:cs="Times New Roman"/>
          <w:color w:val="auto"/>
          <w:sz w:val="32"/>
          <w:szCs w:val="32"/>
        </w:rPr>
        <w:t>六</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证券发行人、</w:t>
      </w:r>
      <w:r>
        <w:rPr>
          <w:rFonts w:ascii="仿宋" w:hAnsi="仿宋" w:eastAsia="仿宋" w:cs="Times New Roman"/>
          <w:color w:val="auto"/>
          <w:sz w:val="32"/>
          <w:szCs w:val="32"/>
        </w:rPr>
        <w:t>收购人、重大资产重组交易对方</w:t>
      </w:r>
      <w:r>
        <w:rPr>
          <w:rFonts w:hint="eastAsia" w:ascii="仿宋" w:hAnsi="仿宋" w:eastAsia="仿宋" w:cs="Times New Roman"/>
          <w:color w:val="auto"/>
          <w:sz w:val="32"/>
          <w:szCs w:val="32"/>
        </w:rPr>
        <w:t>、</w:t>
      </w:r>
      <w:r>
        <w:rPr>
          <w:rFonts w:ascii="仿宋" w:hAnsi="仿宋" w:eastAsia="仿宋" w:cs="Times New Roman"/>
          <w:color w:val="auto"/>
          <w:sz w:val="32"/>
          <w:szCs w:val="32"/>
        </w:rPr>
        <w:t>破产管理人</w:t>
      </w:r>
      <w:r>
        <w:rPr>
          <w:rFonts w:hint="eastAsia" w:ascii="仿宋" w:hAnsi="仿宋" w:eastAsia="仿宋" w:cs="Times New Roman"/>
          <w:color w:val="auto"/>
          <w:sz w:val="32"/>
          <w:szCs w:val="32"/>
        </w:rPr>
        <w:t>、</w:t>
      </w:r>
      <w:r>
        <w:rPr>
          <w:rFonts w:ascii="仿宋" w:hAnsi="仿宋" w:eastAsia="仿宋" w:cs="Times New Roman"/>
          <w:color w:val="auto"/>
          <w:sz w:val="32"/>
          <w:szCs w:val="32"/>
        </w:rPr>
        <w:t>中介机构等相关主体出现违规行为的，本所</w:t>
      </w:r>
      <w:r>
        <w:rPr>
          <w:rFonts w:hint="eastAsia" w:ascii="仿宋" w:hAnsi="仿宋" w:eastAsia="仿宋" w:cs="Times New Roman"/>
          <w:color w:val="auto"/>
          <w:sz w:val="32"/>
          <w:szCs w:val="32"/>
        </w:rPr>
        <w:t>或业务</w:t>
      </w:r>
      <w:r>
        <w:rPr>
          <w:rFonts w:ascii="仿宋" w:hAnsi="仿宋" w:eastAsia="仿宋" w:cs="Times New Roman"/>
          <w:color w:val="auto"/>
          <w:sz w:val="32"/>
          <w:szCs w:val="32"/>
        </w:rPr>
        <w:t>部门可以实施以下自律监管措施：</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（一）口头警示，即以口头形式将有关违规事实或风险状况告知监管对象，要求其</w:t>
      </w:r>
      <w:r>
        <w:rPr>
          <w:rFonts w:hint="eastAsia" w:ascii="仿宋" w:hAnsi="仿宋" w:eastAsia="仿宋" w:cs="Times New Roman"/>
          <w:color w:val="auto"/>
          <w:sz w:val="32"/>
          <w:szCs w:val="32"/>
        </w:rPr>
        <w:t>采取</w:t>
      </w:r>
      <w:r>
        <w:rPr>
          <w:rFonts w:ascii="仿宋" w:hAnsi="仿宋" w:eastAsia="仿宋" w:cs="Times New Roman"/>
          <w:color w:val="auto"/>
          <w:sz w:val="32"/>
          <w:szCs w:val="32"/>
        </w:rPr>
        <w:t>措施及时防范</w:t>
      </w:r>
      <w:r>
        <w:rPr>
          <w:rFonts w:hint="eastAsia" w:ascii="仿宋" w:hAnsi="仿宋" w:eastAsia="仿宋" w:cs="Times New Roman"/>
          <w:color w:val="auto"/>
          <w:sz w:val="32"/>
          <w:szCs w:val="32"/>
        </w:rPr>
        <w:t>、</w:t>
      </w:r>
      <w:r>
        <w:rPr>
          <w:rFonts w:ascii="仿宋" w:hAnsi="仿宋" w:eastAsia="仿宋" w:cs="Times New Roman"/>
          <w:color w:val="auto"/>
          <w:sz w:val="32"/>
          <w:szCs w:val="32"/>
        </w:rPr>
        <w:t>补救</w:t>
      </w:r>
      <w:r>
        <w:rPr>
          <w:rFonts w:hint="eastAsia" w:ascii="仿宋" w:hAnsi="仿宋" w:eastAsia="仿宋" w:cs="Times New Roman"/>
          <w:color w:val="auto"/>
          <w:sz w:val="32"/>
          <w:szCs w:val="32"/>
        </w:rPr>
        <w:t>或者</w:t>
      </w:r>
      <w:r>
        <w:rPr>
          <w:rFonts w:ascii="仿宋" w:hAnsi="仿宋" w:eastAsia="仿宋" w:cs="Times New Roman"/>
          <w:color w:val="auto"/>
          <w:sz w:val="32"/>
          <w:szCs w:val="32"/>
        </w:rPr>
        <w:t>改正；</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（二）监管关注，即</w:t>
      </w:r>
      <w:r>
        <w:rPr>
          <w:rFonts w:ascii="仿宋" w:hAnsi="仿宋" w:eastAsia="仿宋" w:cs="Times New Roman"/>
          <w:color w:val="auto"/>
          <w:sz w:val="32"/>
          <w:szCs w:val="32"/>
        </w:rPr>
        <w:t>对存在违规行为的监管对象予以关注，</w:t>
      </w:r>
    </w:p>
    <w:p>
      <w:pPr>
        <w:pStyle w:val="16"/>
        <w:spacing w:line="600" w:lineRule="exact"/>
        <w:ind w:firstLine="0"/>
        <w:rPr>
          <w:rFonts w:ascii="仿宋" w:hAnsi="仿宋" w:eastAsia="仿宋" w:cs="Times New Roman"/>
          <w:color w:val="auto"/>
          <w:sz w:val="32"/>
          <w:szCs w:val="32"/>
        </w:rPr>
      </w:pPr>
      <w:r>
        <w:rPr>
          <w:rFonts w:ascii="仿宋" w:hAnsi="仿宋" w:eastAsia="仿宋" w:cs="Times New Roman"/>
          <w:color w:val="auto"/>
          <w:sz w:val="32"/>
          <w:szCs w:val="32"/>
        </w:rPr>
        <w:t>告知其有关违规事实或风险状况，并要求其</w:t>
      </w:r>
      <w:r>
        <w:rPr>
          <w:rFonts w:hint="eastAsia" w:ascii="仿宋" w:hAnsi="仿宋" w:eastAsia="仿宋" w:cs="Times New Roman"/>
          <w:color w:val="auto"/>
          <w:sz w:val="32"/>
          <w:szCs w:val="32"/>
        </w:rPr>
        <w:t>采取</w:t>
      </w:r>
      <w:r>
        <w:rPr>
          <w:rFonts w:ascii="仿宋" w:hAnsi="仿宋" w:eastAsia="仿宋" w:cs="Times New Roman"/>
          <w:color w:val="auto"/>
          <w:sz w:val="32"/>
          <w:szCs w:val="32"/>
        </w:rPr>
        <w:t>措施及时防范</w:t>
      </w:r>
      <w:r>
        <w:rPr>
          <w:rFonts w:hint="eastAsia" w:ascii="仿宋" w:hAnsi="仿宋" w:eastAsia="仿宋" w:cs="Times New Roman"/>
          <w:color w:val="auto"/>
          <w:sz w:val="32"/>
          <w:szCs w:val="32"/>
        </w:rPr>
        <w:t>、</w:t>
      </w:r>
      <w:r>
        <w:rPr>
          <w:rFonts w:ascii="仿宋" w:hAnsi="仿宋" w:eastAsia="仿宋" w:cs="Times New Roman"/>
          <w:color w:val="auto"/>
          <w:sz w:val="32"/>
          <w:szCs w:val="32"/>
        </w:rPr>
        <w:t>补救</w:t>
      </w:r>
      <w:r>
        <w:rPr>
          <w:rFonts w:hint="eastAsia" w:ascii="仿宋" w:hAnsi="仿宋" w:eastAsia="仿宋" w:cs="Times New Roman"/>
          <w:color w:val="auto"/>
          <w:sz w:val="32"/>
          <w:szCs w:val="32"/>
        </w:rPr>
        <w:t>或者</w:t>
      </w:r>
      <w:r>
        <w:rPr>
          <w:rFonts w:ascii="仿宋" w:hAnsi="仿宋" w:eastAsia="仿宋" w:cs="Times New Roman"/>
          <w:color w:val="auto"/>
          <w:sz w:val="32"/>
          <w:szCs w:val="32"/>
        </w:rPr>
        <w:t>改正；</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（三）约见谈话，即要求监管对象在指定的时间和地点就有关违规行为接受质询和训诫，并要求其作出解释说明，采取措施及时</w:t>
      </w:r>
      <w:r>
        <w:rPr>
          <w:rFonts w:hint="eastAsia" w:ascii="仿宋" w:hAnsi="仿宋" w:eastAsia="仿宋" w:cs="Times New Roman"/>
          <w:color w:val="auto"/>
          <w:sz w:val="32"/>
          <w:szCs w:val="32"/>
        </w:rPr>
        <w:t>防范</w:t>
      </w:r>
      <w:r>
        <w:rPr>
          <w:rFonts w:ascii="仿宋" w:hAnsi="仿宋" w:eastAsia="仿宋" w:cs="Times New Roman"/>
          <w:color w:val="auto"/>
          <w:sz w:val="32"/>
          <w:szCs w:val="32"/>
        </w:rPr>
        <w:t>、补救</w:t>
      </w:r>
      <w:r>
        <w:rPr>
          <w:rFonts w:hint="eastAsia" w:ascii="仿宋" w:hAnsi="仿宋" w:eastAsia="仿宋" w:cs="Times New Roman"/>
          <w:color w:val="auto"/>
          <w:sz w:val="32"/>
          <w:szCs w:val="32"/>
        </w:rPr>
        <w:t>或者</w:t>
      </w:r>
      <w:r>
        <w:rPr>
          <w:rFonts w:ascii="仿宋" w:hAnsi="仿宋" w:eastAsia="仿宋" w:cs="Times New Roman"/>
          <w:color w:val="auto"/>
          <w:sz w:val="32"/>
          <w:szCs w:val="32"/>
        </w:rPr>
        <w:t>改正；</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 xml:space="preserve">（四）要求提交书面承诺，即要求监管对象提交在规定时间内为或不为一定行为的书面承诺； </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（五）出具警示函，即以书面形式将有关违规事实或风险状况告知监管对象，并要求其</w:t>
      </w:r>
      <w:r>
        <w:rPr>
          <w:rFonts w:hint="eastAsia" w:ascii="仿宋" w:hAnsi="仿宋" w:eastAsia="仿宋" w:cs="Times New Roman"/>
          <w:color w:val="auto"/>
          <w:sz w:val="32"/>
          <w:szCs w:val="32"/>
        </w:rPr>
        <w:t>采取</w:t>
      </w:r>
      <w:r>
        <w:rPr>
          <w:rFonts w:ascii="仿宋" w:hAnsi="仿宋" w:eastAsia="仿宋" w:cs="Times New Roman"/>
          <w:color w:val="auto"/>
          <w:sz w:val="32"/>
          <w:szCs w:val="32"/>
        </w:rPr>
        <w:t>措施及时防范</w:t>
      </w:r>
      <w:r>
        <w:rPr>
          <w:rFonts w:hint="eastAsia" w:ascii="仿宋" w:hAnsi="仿宋" w:eastAsia="仿宋" w:cs="Times New Roman"/>
          <w:color w:val="auto"/>
          <w:sz w:val="32"/>
          <w:szCs w:val="32"/>
        </w:rPr>
        <w:t>、</w:t>
      </w:r>
      <w:r>
        <w:rPr>
          <w:rFonts w:ascii="仿宋" w:hAnsi="仿宋" w:eastAsia="仿宋" w:cs="Times New Roman"/>
          <w:color w:val="auto"/>
          <w:sz w:val="32"/>
          <w:szCs w:val="32"/>
        </w:rPr>
        <w:t>补救</w:t>
      </w:r>
      <w:r>
        <w:rPr>
          <w:rFonts w:hint="eastAsia" w:ascii="仿宋" w:hAnsi="仿宋" w:eastAsia="仿宋" w:cs="Times New Roman"/>
          <w:color w:val="auto"/>
          <w:sz w:val="32"/>
          <w:szCs w:val="32"/>
        </w:rPr>
        <w:t>或者</w:t>
      </w:r>
      <w:r>
        <w:rPr>
          <w:rFonts w:ascii="仿宋" w:hAnsi="仿宋" w:eastAsia="仿宋" w:cs="Times New Roman"/>
          <w:color w:val="auto"/>
          <w:sz w:val="32"/>
          <w:szCs w:val="32"/>
        </w:rPr>
        <w:t>改正；</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（六）限期改正，即要求监管对象停止违规行为或者限期改正；</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（七）要求公开更正、澄清或说明，即要求监管对象对信息披露中的错漏事项进行公开更正，或者对有关事项或风险情况予以公开澄清或说明；</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（八）要求公开致歉，即要求监管对象对违规事项以公告形式向投资者公开致歉；</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（九）要求限期参加培训或考试，即要求监管对象限期参加指定机构组织的专业培训或考试，督促其提升守法意识、职业操守和执业能力；</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（十）要求限期召开投资者说明会，即要求监管对象限期召开说明会，就特定事项公开向投资者作出解释或者说明；</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（十一）</w:t>
      </w:r>
      <w:r>
        <w:rPr>
          <w:rFonts w:hint="eastAsia" w:ascii="仿宋" w:hAnsi="仿宋" w:eastAsia="仿宋" w:cs="Times New Roman"/>
          <w:sz w:val="32"/>
          <w:szCs w:val="32"/>
        </w:rPr>
        <w:t>要求上市公司董事会追偿损失，即对于他人给上市公司造成损失，且相关损失已由司法机关、行政机关或损失造成者予以明确确认，但上市公司</w:t>
      </w:r>
      <w:r>
        <w:rPr>
          <w:rFonts w:hint="eastAsia" w:ascii="仿宋" w:hAnsi="仿宋" w:eastAsia="仿宋" w:cs="Times New Roman"/>
          <w:color w:val="auto"/>
          <w:sz w:val="32"/>
          <w:szCs w:val="32"/>
        </w:rPr>
        <w:t>董事会未进行追偿的，要求上市公司董事会主动进行追偿；</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（十二）</w:t>
      </w:r>
      <w:r>
        <w:rPr>
          <w:rFonts w:ascii="仿宋" w:hAnsi="仿宋" w:eastAsia="仿宋" w:cs="Times New Roman"/>
          <w:color w:val="auto"/>
          <w:sz w:val="32"/>
          <w:szCs w:val="32"/>
        </w:rPr>
        <w:t>暂停解除上市公司控股股东、实际控制人的股票限售，即在一定期限内不办理相关人员所持上市公司股份的解除限售申请；</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（十三）建议更换相关任职人员，即建议上市公司等更换董事、监事或高级管理人员，并及时选聘符合资格的董事、监事或高级管理人员；</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十四）向相关主管部门出具监管建议函，即对违规行为同时涉嫌违反中国证监会之外的其他主管部门监管规定的监管对象，以书面函件等形式将监管对象的有关行为或者风险状况告知相关主管部门，建议其予以关注；</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（十五）本所规定的其他自律监管措施。</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第十七条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本所会员、其他交易参与人及相关主体出现违规行为的，</w:t>
      </w:r>
      <w:r>
        <w:rPr>
          <w:rFonts w:ascii="仿宋" w:hAnsi="仿宋" w:eastAsia="仿宋" w:cs="Times New Roman"/>
          <w:color w:val="auto"/>
          <w:sz w:val="32"/>
          <w:szCs w:val="32"/>
        </w:rPr>
        <w:t>本所</w:t>
      </w:r>
      <w:r>
        <w:rPr>
          <w:rFonts w:hint="eastAsia" w:ascii="仿宋" w:hAnsi="仿宋" w:eastAsia="仿宋" w:cs="Times New Roman"/>
          <w:color w:val="auto"/>
          <w:sz w:val="32"/>
          <w:szCs w:val="32"/>
        </w:rPr>
        <w:t>或</w:t>
      </w:r>
      <w:r>
        <w:rPr>
          <w:rFonts w:ascii="仿宋" w:hAnsi="仿宋" w:eastAsia="仿宋" w:cs="Times New Roman"/>
          <w:color w:val="auto"/>
          <w:sz w:val="32"/>
          <w:szCs w:val="32"/>
        </w:rPr>
        <w:t>业务部门可以实施以下自律监管措施：</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（一）本细则第十六条第一项至第六项规定的自律监管措施；</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w:t>
      </w:r>
      <w:r>
        <w:rPr>
          <w:rFonts w:ascii="仿宋" w:hAnsi="仿宋" w:eastAsia="仿宋" w:cs="Times New Roman"/>
          <w:color w:val="auto"/>
          <w:sz w:val="32"/>
          <w:szCs w:val="32"/>
        </w:rPr>
        <w:t>暂停受理或办理相关业务</w:t>
      </w:r>
      <w:r>
        <w:rPr>
          <w:rFonts w:hint="eastAsia" w:ascii="仿宋" w:hAnsi="仿宋" w:eastAsia="仿宋" w:cs="Times New Roman"/>
          <w:color w:val="auto"/>
          <w:sz w:val="32"/>
          <w:szCs w:val="32"/>
        </w:rPr>
        <w:t>，</w:t>
      </w:r>
      <w:r>
        <w:rPr>
          <w:rFonts w:ascii="仿宋" w:hAnsi="仿宋" w:eastAsia="仿宋" w:cs="Times New Roman"/>
          <w:color w:val="auto"/>
          <w:sz w:val="32"/>
          <w:szCs w:val="32"/>
        </w:rPr>
        <w:t>即在一定期限内不受理监管对象业务申请或不予办理相关业务；</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三</w:t>
      </w:r>
      <w:r>
        <w:rPr>
          <w:rFonts w:ascii="仿宋" w:hAnsi="仿宋" w:eastAsia="仿宋" w:cs="Times New Roman"/>
          <w:color w:val="auto"/>
          <w:sz w:val="32"/>
          <w:szCs w:val="32"/>
        </w:rPr>
        <w:t>）本所规定的其他自律监管措施。</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第十八条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sz w:val="32"/>
          <w:szCs w:val="32"/>
        </w:rPr>
        <w:t>投资者出现</w:t>
      </w:r>
      <w:r>
        <w:rPr>
          <w:rFonts w:hint="eastAsia" w:ascii="仿宋" w:hAnsi="仿宋" w:eastAsia="仿宋" w:cs="Times New Roman"/>
          <w:color w:val="auto"/>
          <w:sz w:val="32"/>
          <w:szCs w:val="32"/>
        </w:rPr>
        <w:t>违规行为的，本所或者业务部门可以</w:t>
      </w:r>
      <w:r>
        <w:rPr>
          <w:rFonts w:ascii="仿宋" w:hAnsi="仿宋" w:eastAsia="仿宋" w:cs="Times New Roman"/>
          <w:color w:val="auto"/>
          <w:sz w:val="32"/>
          <w:szCs w:val="32"/>
        </w:rPr>
        <w:t>实施以下自律监管措施：</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（一）本细则第十六条第一项至第六项规定的自律监管措施；</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（二）将证券账户列入重点监控账户，即将发生严重异常交易行为或者频繁发生异常交易行为的证券账户列入重点监控账</w:t>
      </w:r>
      <w:bookmarkStart w:id="10" w:name="_GoBack"/>
      <w:bookmarkEnd w:id="10"/>
      <w:r>
        <w:rPr>
          <w:rFonts w:hint="eastAsia" w:ascii="仿宋" w:hAnsi="仿宋" w:eastAsia="仿宋" w:cs="Times New Roman"/>
          <w:color w:val="auto"/>
          <w:sz w:val="32"/>
          <w:szCs w:val="32"/>
        </w:rPr>
        <w:t>户名单，并要求相关会员或者其他交易参与人予以重点管理；</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（三）暂停证券账户交易，即对于存在异常交易或其他违规交易行为的监管</w:t>
      </w:r>
      <w:r>
        <w:rPr>
          <w:rFonts w:ascii="仿宋" w:hAnsi="仿宋" w:eastAsia="仿宋" w:cs="Times New Roman"/>
          <w:color w:val="auto"/>
          <w:sz w:val="32"/>
          <w:szCs w:val="32"/>
        </w:rPr>
        <w:t>对象</w:t>
      </w:r>
      <w:r>
        <w:rPr>
          <w:rFonts w:hint="eastAsia" w:ascii="仿宋" w:hAnsi="仿宋" w:eastAsia="仿宋" w:cs="Times New Roman"/>
          <w:color w:val="auto"/>
          <w:sz w:val="32"/>
          <w:szCs w:val="32"/>
        </w:rPr>
        <w:t>，暂停其</w:t>
      </w:r>
      <w:r>
        <w:rPr>
          <w:rFonts w:ascii="仿宋" w:hAnsi="仿宋" w:eastAsia="仿宋" w:cs="Times New Roman"/>
          <w:color w:val="auto"/>
          <w:sz w:val="32"/>
          <w:szCs w:val="32"/>
        </w:rPr>
        <w:t>名下证券账户的全部或者特定证券交易；</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w:t>
      </w:r>
      <w:r>
        <w:rPr>
          <w:rFonts w:hint="eastAsia" w:ascii="仿宋" w:hAnsi="仿宋" w:eastAsia="仿宋" w:cs="Times New Roman"/>
          <w:color w:val="auto"/>
          <w:sz w:val="32"/>
          <w:szCs w:val="32"/>
        </w:rPr>
        <w:t>四</w:t>
      </w:r>
      <w:r>
        <w:rPr>
          <w:rFonts w:ascii="仿宋" w:hAnsi="仿宋" w:eastAsia="仿宋" w:cs="Times New Roman"/>
          <w:color w:val="auto"/>
          <w:sz w:val="32"/>
          <w:szCs w:val="32"/>
        </w:rPr>
        <w:t>）限制证券账户交易，即对于存在严重异常交易或其他违规交易行为的</w:t>
      </w:r>
      <w:r>
        <w:rPr>
          <w:rFonts w:hint="eastAsia" w:ascii="仿宋" w:hAnsi="仿宋" w:eastAsia="仿宋" w:cs="Times New Roman"/>
          <w:color w:val="auto"/>
          <w:sz w:val="32"/>
          <w:szCs w:val="32"/>
        </w:rPr>
        <w:t>监管</w:t>
      </w:r>
      <w:r>
        <w:rPr>
          <w:rFonts w:ascii="仿宋" w:hAnsi="仿宋" w:eastAsia="仿宋" w:cs="Times New Roman"/>
          <w:color w:val="auto"/>
          <w:sz w:val="32"/>
          <w:szCs w:val="32"/>
        </w:rPr>
        <w:t>对象，限制其名下证券账户在一段时期内的全部或者特定证券交易；</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（五）本所规定的其他自律监管措施。</w:t>
      </w:r>
    </w:p>
    <w:p>
      <w:pPr>
        <w:pStyle w:val="16"/>
        <w:spacing w:before="240" w:after="240" w:line="600" w:lineRule="exact"/>
        <w:ind w:firstLine="0"/>
        <w:jc w:val="center"/>
        <w:rPr>
          <w:rFonts w:ascii="楷体" w:hAnsi="楷体" w:eastAsia="楷体" w:cs="Times New Roman"/>
          <w:color w:val="auto"/>
          <w:sz w:val="32"/>
          <w:szCs w:val="32"/>
        </w:rPr>
      </w:pPr>
      <w:r>
        <w:rPr>
          <w:rFonts w:ascii="楷体" w:hAnsi="楷体" w:eastAsia="楷体" w:cs="Times New Roman"/>
          <w:color w:val="auto"/>
          <w:sz w:val="32"/>
          <w:szCs w:val="32"/>
        </w:rPr>
        <w:t xml:space="preserve">第二节  </w:t>
      </w:r>
      <w:r>
        <w:rPr>
          <w:rFonts w:hint="eastAsia" w:ascii="楷体" w:hAnsi="楷体" w:eastAsia="楷体" w:cs="Times New Roman"/>
          <w:color w:val="auto"/>
          <w:sz w:val="32"/>
          <w:szCs w:val="32"/>
        </w:rPr>
        <w:t>自律监管</w:t>
      </w:r>
      <w:r>
        <w:rPr>
          <w:rFonts w:ascii="楷体" w:hAnsi="楷体" w:eastAsia="楷体" w:cs="Times New Roman"/>
          <w:color w:val="auto"/>
          <w:sz w:val="32"/>
          <w:szCs w:val="32"/>
        </w:rPr>
        <w:t>措施的实施程序</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十九</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实施口头警示、监管关注、约见谈话、要求提交书面承诺的，可以口头</w:t>
      </w:r>
      <w:r>
        <w:rPr>
          <w:rFonts w:hint="eastAsia" w:ascii="仿宋" w:hAnsi="仿宋" w:eastAsia="仿宋" w:cs="Times New Roman"/>
          <w:color w:val="auto"/>
          <w:sz w:val="32"/>
          <w:szCs w:val="32"/>
        </w:rPr>
        <w:t>或</w:t>
      </w:r>
      <w:r>
        <w:rPr>
          <w:rFonts w:ascii="仿宋" w:hAnsi="仿宋" w:eastAsia="仿宋" w:cs="Times New Roman"/>
          <w:color w:val="auto"/>
          <w:sz w:val="32"/>
          <w:szCs w:val="32"/>
        </w:rPr>
        <w:t>书面方式通知</w:t>
      </w:r>
      <w:r>
        <w:rPr>
          <w:rFonts w:hint="eastAsia" w:ascii="仿宋" w:hAnsi="仿宋" w:eastAsia="仿宋" w:cs="Times New Roman"/>
          <w:color w:val="auto"/>
          <w:sz w:val="32"/>
          <w:szCs w:val="32"/>
        </w:rPr>
        <w:t>。</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实施</w:t>
      </w:r>
      <w:r>
        <w:rPr>
          <w:rFonts w:hint="eastAsia" w:ascii="仿宋" w:hAnsi="仿宋" w:eastAsia="仿宋" w:cs="Times New Roman"/>
          <w:color w:val="auto"/>
          <w:sz w:val="32"/>
          <w:szCs w:val="32"/>
        </w:rPr>
        <w:t>其他</w:t>
      </w:r>
      <w:r>
        <w:rPr>
          <w:rFonts w:ascii="仿宋" w:hAnsi="仿宋" w:eastAsia="仿宋" w:cs="Times New Roman"/>
          <w:color w:val="auto"/>
          <w:sz w:val="32"/>
          <w:szCs w:val="32"/>
        </w:rPr>
        <w:t>自律监管措施的，应当向监管对象发送自律监管措施决定书。自律监管措施决定书应当包括</w:t>
      </w:r>
      <w:r>
        <w:rPr>
          <w:rFonts w:hint="eastAsia" w:ascii="仿宋" w:hAnsi="仿宋" w:eastAsia="仿宋" w:cs="Times New Roman"/>
          <w:color w:val="auto"/>
          <w:sz w:val="32"/>
          <w:szCs w:val="32"/>
        </w:rPr>
        <w:t>违规事实</w:t>
      </w:r>
      <w:r>
        <w:rPr>
          <w:rFonts w:ascii="仿宋" w:hAnsi="仿宋" w:eastAsia="仿宋" w:cs="Times New Roman"/>
          <w:color w:val="auto"/>
          <w:sz w:val="32"/>
          <w:szCs w:val="32"/>
        </w:rPr>
        <w:t>、</w:t>
      </w:r>
      <w:r>
        <w:rPr>
          <w:rFonts w:hint="eastAsia" w:ascii="仿宋" w:hAnsi="仿宋" w:eastAsia="仿宋" w:cs="Times New Roman"/>
          <w:color w:val="auto"/>
          <w:sz w:val="32"/>
          <w:szCs w:val="32"/>
        </w:rPr>
        <w:t>实施</w:t>
      </w:r>
      <w:r>
        <w:rPr>
          <w:rFonts w:ascii="仿宋" w:hAnsi="仿宋" w:eastAsia="仿宋" w:cs="Times New Roman"/>
          <w:color w:val="auto"/>
          <w:sz w:val="32"/>
          <w:szCs w:val="32"/>
        </w:rPr>
        <w:t>的</w:t>
      </w:r>
      <w:r>
        <w:rPr>
          <w:rFonts w:hint="eastAsia" w:ascii="仿宋" w:hAnsi="仿宋" w:eastAsia="仿宋" w:cs="Times New Roman"/>
          <w:color w:val="auto"/>
          <w:sz w:val="32"/>
          <w:szCs w:val="32"/>
        </w:rPr>
        <w:t>监管措施</w:t>
      </w:r>
      <w:r>
        <w:rPr>
          <w:rFonts w:ascii="仿宋" w:hAnsi="仿宋" w:eastAsia="仿宋" w:cs="Times New Roman"/>
          <w:color w:val="auto"/>
          <w:sz w:val="32"/>
          <w:szCs w:val="32"/>
        </w:rPr>
        <w:t>及</w:t>
      </w:r>
      <w:r>
        <w:rPr>
          <w:rFonts w:hint="eastAsia" w:ascii="仿宋" w:hAnsi="仿宋" w:eastAsia="仿宋" w:cs="Times New Roman"/>
          <w:color w:val="auto"/>
          <w:sz w:val="32"/>
          <w:szCs w:val="32"/>
        </w:rPr>
        <w:t>适用规则</w:t>
      </w:r>
      <w:r>
        <w:rPr>
          <w:rFonts w:ascii="仿宋" w:hAnsi="仿宋" w:eastAsia="仿宋" w:cs="Times New Roman"/>
          <w:color w:val="auto"/>
          <w:sz w:val="32"/>
          <w:szCs w:val="32"/>
        </w:rPr>
        <w:t>等</w:t>
      </w:r>
      <w:r>
        <w:rPr>
          <w:rFonts w:hint="eastAsia" w:ascii="仿宋" w:hAnsi="仿宋" w:eastAsia="仿宋" w:cs="Times New Roman"/>
          <w:color w:val="auto"/>
          <w:sz w:val="32"/>
          <w:szCs w:val="32"/>
        </w:rPr>
        <w:t>。</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实施口头警示措施的，由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通过电话等口头形式向监管对象作出，或委托相关机构</w:t>
      </w:r>
      <w:r>
        <w:rPr>
          <w:rFonts w:hint="eastAsia" w:ascii="仿宋" w:hAnsi="仿宋" w:eastAsia="仿宋" w:cs="Times New Roman"/>
          <w:color w:val="auto"/>
          <w:sz w:val="32"/>
          <w:szCs w:val="32"/>
        </w:rPr>
        <w:t>、</w:t>
      </w:r>
      <w:r>
        <w:rPr>
          <w:rFonts w:ascii="仿宋" w:hAnsi="仿宋" w:eastAsia="仿宋" w:cs="Times New Roman"/>
          <w:color w:val="auto"/>
          <w:sz w:val="32"/>
          <w:szCs w:val="32"/>
        </w:rPr>
        <w:t>证券发行人送达，告知其违规事实、实施的自律监管措施及适用规则，并明确指出如未及时终止违规行为，将对其进一步实施自律监管措施或者纪律处分。</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实施口头警示的，应当留存录音、电话记录单或委托送达通知。</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第二十一条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实施监管关注措施的，由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通过口头或书面形式向监管对象作出，或委托相关机构</w:t>
      </w:r>
      <w:r>
        <w:rPr>
          <w:rFonts w:hint="eastAsia" w:ascii="仿宋" w:hAnsi="仿宋" w:eastAsia="仿宋" w:cs="Times New Roman"/>
          <w:color w:val="auto"/>
          <w:sz w:val="32"/>
          <w:szCs w:val="32"/>
        </w:rPr>
        <w:t>、</w:t>
      </w:r>
      <w:r>
        <w:rPr>
          <w:rFonts w:ascii="仿宋" w:hAnsi="仿宋" w:eastAsia="仿宋" w:cs="Times New Roman"/>
          <w:color w:val="auto"/>
          <w:sz w:val="32"/>
          <w:szCs w:val="32"/>
        </w:rPr>
        <w:t>证券发行人送达，告知其违规事实、实施的自律监管措施及适用规则。</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第二十二条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实施约见谈话措施的，由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至少提前三个交易日通知监管对象，告知其违规事实、实施的自律监管措施及适用规则</w:t>
      </w:r>
      <w:r>
        <w:rPr>
          <w:rFonts w:hint="eastAsia" w:ascii="仿宋" w:hAnsi="仿宋" w:eastAsia="仿宋" w:cs="Times New Roman"/>
          <w:color w:val="auto"/>
          <w:sz w:val="32"/>
          <w:szCs w:val="32"/>
        </w:rPr>
        <w:t>，</w:t>
      </w:r>
      <w:r>
        <w:rPr>
          <w:rFonts w:ascii="仿宋" w:hAnsi="仿宋" w:eastAsia="仿宋" w:cs="Times New Roman"/>
          <w:color w:val="auto"/>
          <w:sz w:val="32"/>
          <w:szCs w:val="32"/>
        </w:rPr>
        <w:t>同时告知谈话的时间、地点、事项和应当提供的书面材料等内容。</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实施约见谈话措施的，业务部门应当制作谈话记录，参加谈话的监管对象应当签字确认。</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第二十三条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实施要求提交书面承诺措施的，由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通知监管对象，告知其违规</w:t>
      </w:r>
      <w:r>
        <w:rPr>
          <w:rFonts w:hint="eastAsia" w:ascii="仿宋" w:hAnsi="仿宋" w:eastAsia="仿宋" w:cs="Times New Roman"/>
          <w:color w:val="auto"/>
          <w:sz w:val="32"/>
          <w:szCs w:val="32"/>
        </w:rPr>
        <w:t>事实</w:t>
      </w:r>
      <w:r>
        <w:rPr>
          <w:rFonts w:ascii="仿宋" w:hAnsi="仿宋" w:eastAsia="仿宋" w:cs="Times New Roman"/>
          <w:color w:val="auto"/>
          <w:sz w:val="32"/>
          <w:szCs w:val="32"/>
        </w:rPr>
        <w:t>、</w:t>
      </w:r>
      <w:r>
        <w:rPr>
          <w:rFonts w:hint="eastAsia" w:ascii="仿宋" w:hAnsi="仿宋" w:eastAsia="仿宋" w:cs="Times New Roman"/>
          <w:color w:val="auto"/>
          <w:sz w:val="32"/>
          <w:szCs w:val="32"/>
        </w:rPr>
        <w:t>实施的</w:t>
      </w:r>
      <w:r>
        <w:rPr>
          <w:rFonts w:ascii="仿宋" w:hAnsi="仿宋" w:eastAsia="仿宋" w:cs="Times New Roman"/>
          <w:color w:val="auto"/>
          <w:sz w:val="32"/>
          <w:szCs w:val="32"/>
        </w:rPr>
        <w:t>自律监管措施</w:t>
      </w:r>
      <w:r>
        <w:rPr>
          <w:rFonts w:hint="eastAsia" w:ascii="仿宋" w:hAnsi="仿宋" w:eastAsia="仿宋" w:cs="Times New Roman"/>
          <w:color w:val="auto"/>
          <w:sz w:val="32"/>
          <w:szCs w:val="32"/>
        </w:rPr>
        <w:t>及</w:t>
      </w:r>
      <w:r>
        <w:rPr>
          <w:rFonts w:ascii="仿宋" w:hAnsi="仿宋" w:eastAsia="仿宋" w:cs="Times New Roman"/>
          <w:color w:val="auto"/>
          <w:sz w:val="32"/>
          <w:szCs w:val="32"/>
        </w:rPr>
        <w:t>适用规则</w:t>
      </w:r>
      <w:r>
        <w:rPr>
          <w:rFonts w:hint="eastAsia" w:ascii="仿宋" w:hAnsi="仿宋" w:eastAsia="仿宋" w:cs="Times New Roman"/>
          <w:color w:val="auto"/>
          <w:sz w:val="32"/>
          <w:szCs w:val="32"/>
        </w:rPr>
        <w:t>、</w:t>
      </w:r>
      <w:r>
        <w:rPr>
          <w:rFonts w:ascii="仿宋" w:hAnsi="仿宋" w:eastAsia="仿宋" w:cs="Times New Roman"/>
          <w:color w:val="auto"/>
          <w:sz w:val="32"/>
          <w:szCs w:val="32"/>
        </w:rPr>
        <w:t>需要</w:t>
      </w:r>
      <w:r>
        <w:rPr>
          <w:rFonts w:hint="eastAsia" w:ascii="仿宋" w:hAnsi="仿宋" w:eastAsia="仿宋" w:cs="Times New Roman"/>
          <w:color w:val="auto"/>
          <w:sz w:val="32"/>
          <w:szCs w:val="32"/>
        </w:rPr>
        <w:t>书面</w:t>
      </w:r>
      <w:r>
        <w:rPr>
          <w:rFonts w:ascii="仿宋" w:hAnsi="仿宋" w:eastAsia="仿宋" w:cs="Times New Roman"/>
          <w:color w:val="auto"/>
          <w:sz w:val="32"/>
          <w:szCs w:val="32"/>
        </w:rPr>
        <w:t>承诺的事项等内容。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第二十四条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实施出具警示函措施的，由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向监管对象发送自律监管措施决定书，告知其应当关注的问题，对其进行警示，提醒其尽快改进。</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第二十五条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实施限期改正措施的，由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向监管对象发送自律监管措施决定书，告知其整改的事项、时限和要求等内容。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第二十六条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实施要求公开更正、澄清或说明措施的，由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向监管对象发送自律监管措施决定书，告知其要求公开更正、澄清或说明的事项、时限和公开的方式等内容。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第二十七条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实施要求公开致歉措施的，由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向监管对象发送自律监管措施决定书，告知其需要致歉的事项、时限、方式和要求等内容。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第二十八条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实施要求限期参加培训或考试措施的，由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向监管对象发送自律监管措施决定书，告知其参加培训或考试的种类、时限和要求等内容。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二十</w:t>
      </w:r>
      <w:r>
        <w:rPr>
          <w:rFonts w:ascii="黑体" w:hAnsi="黑体" w:eastAsia="黑体" w:cs="Times New Roman"/>
          <w:color w:val="auto"/>
          <w:sz w:val="32"/>
          <w:szCs w:val="32"/>
        </w:rPr>
        <w:t>九条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实施要求限期召开投资者说明会措施的，由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向监管对象发送自律监管措施决定书，告知其召开投资者说明会的事项、时限和要求等内容。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三十</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实施要求上市公司董事会追偿损失措施的，由本所或者业务部门向上市公司发出书面通知，告知其应追偿损失的事项、时限和要求等内容。</w:t>
      </w:r>
    </w:p>
    <w:p>
      <w:pPr>
        <w:pStyle w:val="16"/>
        <w:spacing w:line="600" w:lineRule="exact"/>
        <w:ind w:firstLine="640" w:firstLineChars="200"/>
        <w:rPr>
          <w:rFonts w:ascii="仿宋" w:hAnsi="仿宋" w:eastAsia="仿宋" w:cs="Times New Roman"/>
          <w:color w:val="auto"/>
          <w:sz w:val="28"/>
          <w:szCs w:val="28"/>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三十一</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实施暂停解除上市公司控股股东、实际控制人的股票限售</w:t>
      </w:r>
      <w:r>
        <w:rPr>
          <w:rFonts w:hint="eastAsia" w:ascii="仿宋" w:hAnsi="仿宋" w:eastAsia="仿宋" w:cs="Times New Roman"/>
          <w:color w:val="auto"/>
          <w:sz w:val="32"/>
          <w:szCs w:val="32"/>
        </w:rPr>
        <w:t>措施</w:t>
      </w:r>
      <w:r>
        <w:rPr>
          <w:rFonts w:ascii="仿宋" w:hAnsi="仿宋" w:eastAsia="仿宋" w:cs="Times New Roman"/>
          <w:color w:val="auto"/>
          <w:sz w:val="32"/>
          <w:szCs w:val="32"/>
        </w:rPr>
        <w:t>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向监管对象发送自律监管措施决定书，告知其暂停</w:t>
      </w:r>
      <w:r>
        <w:rPr>
          <w:rFonts w:hint="eastAsia" w:ascii="仿宋" w:hAnsi="仿宋" w:eastAsia="仿宋" w:cs="Times New Roman"/>
          <w:color w:val="auto"/>
          <w:sz w:val="32"/>
          <w:szCs w:val="32"/>
        </w:rPr>
        <w:t>办理</w:t>
      </w:r>
      <w:r>
        <w:rPr>
          <w:rFonts w:ascii="仿宋" w:hAnsi="仿宋" w:eastAsia="仿宋" w:cs="Times New Roman"/>
          <w:color w:val="auto"/>
          <w:sz w:val="32"/>
          <w:szCs w:val="32"/>
        </w:rPr>
        <w:t>解除限售</w:t>
      </w:r>
      <w:r>
        <w:rPr>
          <w:rFonts w:hint="eastAsia" w:ascii="仿宋" w:hAnsi="仿宋" w:eastAsia="仿宋" w:cs="Times New Roman"/>
          <w:color w:val="auto"/>
          <w:sz w:val="32"/>
          <w:szCs w:val="32"/>
        </w:rPr>
        <w:t>申请</w:t>
      </w:r>
      <w:r>
        <w:rPr>
          <w:rFonts w:ascii="仿宋" w:hAnsi="仿宋" w:eastAsia="仿宋" w:cs="Times New Roman"/>
          <w:color w:val="auto"/>
          <w:sz w:val="32"/>
          <w:szCs w:val="32"/>
        </w:rPr>
        <w:t>的时限，可以要求其进行自查并提交自查报告，或要求其限期进行整改。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第三十二条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实施建议更换相关任职人员措施的，由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向上市公司发送自律监管措施决定书，告知其建议更换的有关任职人员的姓名、职务和具体要求等内容，以及</w:t>
      </w:r>
      <w:r>
        <w:rPr>
          <w:rFonts w:hint="eastAsia" w:ascii="仿宋" w:hAnsi="仿宋" w:eastAsia="仿宋" w:cs="Times New Roman"/>
          <w:color w:val="auto"/>
          <w:sz w:val="32"/>
          <w:szCs w:val="32"/>
        </w:rPr>
        <w:t>建议更换</w:t>
      </w:r>
      <w:r>
        <w:rPr>
          <w:rFonts w:ascii="仿宋" w:hAnsi="仿宋" w:eastAsia="仿宋" w:cs="Times New Roman"/>
          <w:color w:val="auto"/>
          <w:sz w:val="32"/>
          <w:szCs w:val="32"/>
        </w:rPr>
        <w:t>的原因。</w:t>
      </w:r>
    </w:p>
    <w:p>
      <w:pPr>
        <w:pStyle w:val="16"/>
        <w:spacing w:line="600" w:lineRule="exact"/>
        <w:ind w:firstLine="640"/>
        <w:rPr>
          <w:rStyle w:val="30"/>
          <w:rFonts w:hint="default"/>
        </w:rPr>
      </w:pPr>
      <w:r>
        <w:rPr>
          <w:rFonts w:ascii="黑体" w:hAnsi="黑体" w:eastAsia="黑体" w:cs="Times New Roman"/>
          <w:color w:val="auto"/>
          <w:sz w:val="32"/>
          <w:szCs w:val="32"/>
        </w:rPr>
        <w:t>第三十三条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Style w:val="30"/>
          <w:rFonts w:hint="default"/>
        </w:rPr>
        <w:t>实施向相关主管部门出具监管建议函措施的，由本所向相关主管部门发出书面函件，告知其监管对象的违规事实、风险状况并建议其采取相应监管措施，同时向监管对象发出书面通知，告知其实施自律监管措施的事项、简要理由及监管建议函的主要内容。</w:t>
      </w:r>
    </w:p>
    <w:p>
      <w:pPr>
        <w:pStyle w:val="16"/>
        <w:spacing w:line="600" w:lineRule="exact"/>
        <w:ind w:firstLine="640" w:firstLineChars="200"/>
        <w:rPr>
          <w:rStyle w:val="30"/>
          <w:rFonts w:hint="default"/>
        </w:rPr>
      </w:pPr>
      <w:r>
        <w:rPr>
          <w:rFonts w:ascii="黑体" w:hAnsi="黑体" w:eastAsia="黑体" w:cs="Times New Roman"/>
          <w:color w:val="auto"/>
          <w:sz w:val="32"/>
          <w:szCs w:val="32"/>
        </w:rPr>
        <w:t>第三十四条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Style w:val="30"/>
          <w:rFonts w:hint="default"/>
        </w:rPr>
        <w:t>实施暂停受理或者办理相关业务措施的，由本所或者业务部门向监管对象发出书面通知，告知其暂停受理或者办理相关业务的原因、期限、业务种类以及恢复受理或者办理的条件、时间等内容。</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第三十五条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w:t>
      </w:r>
      <w:r>
        <w:rPr>
          <w:rFonts w:hint="eastAsia" w:ascii="仿宋" w:hAnsi="仿宋" w:eastAsia="仿宋" w:cs="Times New Roman"/>
          <w:color w:val="auto"/>
          <w:sz w:val="32"/>
          <w:szCs w:val="32"/>
        </w:rPr>
        <w:t>将证券账户列入重点监控账户措施的，由本所或者业务部门将有关账户名单发送至会员或者其他交易参与人，会员或者其他交易参与人应当告知监管对象并加强相关账户的客户管理工作。</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第三十六条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实施暂停证券账户交易措施的，由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暂停</w:t>
      </w:r>
      <w:r>
        <w:rPr>
          <w:rFonts w:hint="eastAsia" w:ascii="仿宋" w:hAnsi="仿宋" w:eastAsia="仿宋" w:cs="Times New Roman"/>
          <w:color w:val="auto"/>
          <w:sz w:val="32"/>
          <w:szCs w:val="32"/>
        </w:rPr>
        <w:t>监管</w:t>
      </w:r>
      <w:r>
        <w:rPr>
          <w:rFonts w:ascii="仿宋" w:hAnsi="仿宋" w:eastAsia="仿宋" w:cs="Times New Roman"/>
          <w:color w:val="auto"/>
          <w:sz w:val="32"/>
          <w:szCs w:val="32"/>
        </w:rPr>
        <w:t>对象名下证券账户买卖全部或特定证券的交易权限，</w:t>
      </w:r>
      <w:r>
        <w:rPr>
          <w:rFonts w:hint="eastAsia" w:ascii="仿宋" w:hAnsi="仿宋" w:eastAsia="仿宋" w:cs="Times New Roman"/>
          <w:color w:val="auto"/>
          <w:sz w:val="32"/>
          <w:szCs w:val="32"/>
        </w:rPr>
        <w:t>并</w:t>
      </w:r>
      <w:r>
        <w:rPr>
          <w:rFonts w:ascii="仿宋" w:hAnsi="仿宋" w:eastAsia="仿宋" w:cs="Times New Roman"/>
          <w:color w:val="auto"/>
          <w:sz w:val="32"/>
          <w:szCs w:val="32"/>
        </w:rPr>
        <w:t>应当以书面形式通知相关</w:t>
      </w:r>
      <w:r>
        <w:rPr>
          <w:rFonts w:hint="eastAsia" w:ascii="仿宋" w:hAnsi="仿宋" w:eastAsia="仿宋" w:cs="Times New Roman"/>
          <w:color w:val="auto"/>
          <w:sz w:val="32"/>
          <w:szCs w:val="32"/>
        </w:rPr>
        <w:t>会员或者</w:t>
      </w:r>
      <w:r>
        <w:rPr>
          <w:rFonts w:ascii="仿宋" w:hAnsi="仿宋" w:eastAsia="仿宋" w:cs="Times New Roman"/>
          <w:color w:val="auto"/>
          <w:sz w:val="32"/>
          <w:szCs w:val="32"/>
        </w:rPr>
        <w:t>其他交易参与</w:t>
      </w:r>
      <w:r>
        <w:rPr>
          <w:rFonts w:hint="eastAsia" w:ascii="仿宋" w:hAnsi="仿宋" w:eastAsia="仿宋" w:cs="Times New Roman"/>
          <w:color w:val="auto"/>
          <w:sz w:val="32"/>
          <w:szCs w:val="32"/>
        </w:rPr>
        <w:t>人</w:t>
      </w:r>
      <w:r>
        <w:rPr>
          <w:rFonts w:ascii="仿宋" w:hAnsi="仿宋" w:eastAsia="仿宋" w:cs="Times New Roman"/>
          <w:color w:val="auto"/>
          <w:sz w:val="32"/>
          <w:szCs w:val="32"/>
        </w:rPr>
        <w:t>送达。</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sz w:val="32"/>
          <w:szCs w:val="32"/>
        </w:rPr>
        <w:t>暂停</w:t>
      </w:r>
      <w:r>
        <w:rPr>
          <w:rFonts w:ascii="仿宋" w:hAnsi="仿宋" w:eastAsia="仿宋"/>
          <w:sz w:val="32"/>
          <w:szCs w:val="32"/>
        </w:rPr>
        <w:t>证券账户交易的持续时间</w:t>
      </w:r>
      <w:r>
        <w:rPr>
          <w:rFonts w:hint="eastAsia" w:ascii="仿宋" w:hAnsi="仿宋" w:eastAsia="仿宋"/>
          <w:sz w:val="32"/>
          <w:szCs w:val="32"/>
        </w:rPr>
        <w:t>一般</w:t>
      </w:r>
      <w:r>
        <w:rPr>
          <w:rFonts w:ascii="仿宋" w:hAnsi="仿宋" w:eastAsia="仿宋"/>
          <w:sz w:val="32"/>
          <w:szCs w:val="32"/>
        </w:rPr>
        <w:t>不超过</w:t>
      </w:r>
      <w:r>
        <w:rPr>
          <w:rFonts w:hint="eastAsia" w:ascii="仿宋" w:hAnsi="仿宋" w:eastAsia="仿宋"/>
          <w:sz w:val="32"/>
          <w:szCs w:val="32"/>
        </w:rPr>
        <w:t>一个</w:t>
      </w:r>
      <w:r>
        <w:rPr>
          <w:rFonts w:ascii="仿宋" w:hAnsi="仿宋" w:eastAsia="仿宋"/>
          <w:sz w:val="32"/>
          <w:szCs w:val="32"/>
        </w:rPr>
        <w:t>交易</w:t>
      </w:r>
      <w:r>
        <w:rPr>
          <w:rFonts w:hint="eastAsia" w:ascii="仿宋" w:hAnsi="仿宋" w:eastAsia="仿宋"/>
          <w:sz w:val="32"/>
          <w:szCs w:val="32"/>
        </w:rPr>
        <w:t xml:space="preserve">日。 </w:t>
      </w:r>
      <w:r>
        <w:rPr>
          <w:rFonts w:ascii="仿宋" w:hAnsi="仿宋" w:eastAsia="仿宋"/>
          <w:sz w:val="32"/>
          <w:szCs w:val="32"/>
        </w:rPr>
        <w:t xml:space="preserve">  </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第三十七条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实施限制证券账户交易措施的，由</w:t>
      </w:r>
      <w:r>
        <w:rPr>
          <w:rFonts w:hint="eastAsia" w:ascii="仿宋" w:hAnsi="仿宋" w:eastAsia="仿宋" w:cs="Times New Roman"/>
          <w:color w:val="auto"/>
          <w:sz w:val="32"/>
          <w:szCs w:val="32"/>
        </w:rPr>
        <w:t>本所或者业务部门</w:t>
      </w:r>
      <w:r>
        <w:rPr>
          <w:rFonts w:ascii="仿宋" w:hAnsi="仿宋" w:eastAsia="仿宋" w:cs="Times New Roman"/>
          <w:color w:val="auto"/>
          <w:sz w:val="32"/>
          <w:szCs w:val="32"/>
        </w:rPr>
        <w:t>限制</w:t>
      </w:r>
      <w:r>
        <w:rPr>
          <w:rFonts w:hint="eastAsia" w:ascii="仿宋" w:hAnsi="仿宋" w:eastAsia="仿宋" w:cs="Times New Roman"/>
          <w:color w:val="auto"/>
          <w:sz w:val="32"/>
          <w:szCs w:val="32"/>
        </w:rPr>
        <w:t>监管</w:t>
      </w:r>
      <w:r>
        <w:rPr>
          <w:rFonts w:ascii="仿宋" w:hAnsi="仿宋" w:eastAsia="仿宋" w:cs="Times New Roman"/>
          <w:color w:val="auto"/>
          <w:sz w:val="32"/>
          <w:szCs w:val="32"/>
        </w:rPr>
        <w:t>对象名下证券账户一段时期内的全部或者特定证券交易，并应当以书面形式通知</w:t>
      </w:r>
      <w:r>
        <w:rPr>
          <w:rFonts w:hint="eastAsia" w:ascii="仿宋" w:hAnsi="仿宋" w:eastAsia="仿宋" w:cs="Times New Roman"/>
          <w:color w:val="auto"/>
          <w:sz w:val="32"/>
          <w:szCs w:val="32"/>
        </w:rPr>
        <w:t>相关会员或者</w:t>
      </w:r>
      <w:r>
        <w:rPr>
          <w:rFonts w:ascii="仿宋" w:hAnsi="仿宋" w:eastAsia="仿宋" w:cs="Times New Roman"/>
          <w:color w:val="auto"/>
          <w:sz w:val="32"/>
          <w:szCs w:val="32"/>
        </w:rPr>
        <w:t>其他交易参与</w:t>
      </w:r>
      <w:r>
        <w:rPr>
          <w:rFonts w:hint="eastAsia" w:ascii="仿宋" w:hAnsi="仿宋" w:eastAsia="仿宋" w:cs="Times New Roman"/>
          <w:color w:val="auto"/>
          <w:sz w:val="32"/>
          <w:szCs w:val="32"/>
        </w:rPr>
        <w:t>人</w:t>
      </w:r>
      <w:r>
        <w:rPr>
          <w:rFonts w:ascii="仿宋" w:hAnsi="仿宋" w:eastAsia="仿宋" w:cs="Times New Roman"/>
          <w:color w:val="auto"/>
          <w:sz w:val="32"/>
          <w:szCs w:val="32"/>
        </w:rPr>
        <w:t>送达。</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限制证券账户交易的单次持续时间一般不超过六个月，但违规情节特别严重的除外。</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三十八</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拟实施本细则第十</w:t>
      </w:r>
      <w:r>
        <w:rPr>
          <w:rFonts w:hint="eastAsia" w:ascii="仿宋" w:hAnsi="仿宋" w:eastAsia="仿宋" w:cs="Times New Roman"/>
          <w:color w:val="auto"/>
          <w:sz w:val="32"/>
          <w:szCs w:val="32"/>
        </w:rPr>
        <w:t>六</w:t>
      </w:r>
      <w:r>
        <w:rPr>
          <w:rFonts w:ascii="仿宋" w:hAnsi="仿宋" w:eastAsia="仿宋" w:cs="Times New Roman"/>
          <w:color w:val="auto"/>
          <w:sz w:val="32"/>
          <w:szCs w:val="32"/>
        </w:rPr>
        <w:t>条第十二项、第十三项、</w:t>
      </w:r>
      <w:r>
        <w:rPr>
          <w:rFonts w:hint="eastAsia" w:ascii="仿宋" w:hAnsi="仿宋" w:eastAsia="仿宋" w:cs="Times New Roman"/>
          <w:color w:val="auto"/>
          <w:sz w:val="32"/>
          <w:szCs w:val="32"/>
        </w:rPr>
        <w:t>第</w:t>
      </w:r>
      <w:r>
        <w:rPr>
          <w:rFonts w:ascii="仿宋" w:hAnsi="仿宋" w:eastAsia="仿宋" w:cs="Times New Roman"/>
          <w:color w:val="auto"/>
          <w:sz w:val="32"/>
          <w:szCs w:val="32"/>
        </w:rPr>
        <w:t>十四</w:t>
      </w:r>
      <w:r>
        <w:rPr>
          <w:rFonts w:hint="eastAsia" w:ascii="仿宋" w:hAnsi="仿宋" w:eastAsia="仿宋" w:cs="Times New Roman"/>
          <w:color w:val="auto"/>
          <w:sz w:val="32"/>
          <w:szCs w:val="32"/>
        </w:rPr>
        <w:t>项、</w:t>
      </w:r>
      <w:r>
        <w:rPr>
          <w:rFonts w:ascii="仿宋" w:hAnsi="仿宋" w:eastAsia="仿宋" w:cs="Times New Roman"/>
          <w:color w:val="auto"/>
          <w:sz w:val="32"/>
          <w:szCs w:val="32"/>
        </w:rPr>
        <w:t>第十</w:t>
      </w:r>
      <w:r>
        <w:rPr>
          <w:rFonts w:hint="eastAsia" w:ascii="仿宋" w:hAnsi="仿宋" w:eastAsia="仿宋" w:cs="Times New Roman"/>
          <w:color w:val="auto"/>
          <w:sz w:val="32"/>
          <w:szCs w:val="32"/>
        </w:rPr>
        <w:t>七</w:t>
      </w:r>
      <w:r>
        <w:rPr>
          <w:rFonts w:ascii="仿宋" w:hAnsi="仿宋" w:eastAsia="仿宋" w:cs="Times New Roman"/>
          <w:color w:val="auto"/>
          <w:sz w:val="32"/>
          <w:szCs w:val="32"/>
        </w:rPr>
        <w:t>条第二项</w:t>
      </w:r>
      <w:r>
        <w:rPr>
          <w:rFonts w:hint="eastAsia" w:ascii="仿宋" w:hAnsi="仿宋" w:eastAsia="仿宋" w:cs="Times New Roman"/>
          <w:color w:val="auto"/>
          <w:sz w:val="32"/>
          <w:szCs w:val="32"/>
        </w:rPr>
        <w:t>、</w:t>
      </w:r>
      <w:r>
        <w:rPr>
          <w:rFonts w:ascii="仿宋" w:hAnsi="仿宋" w:eastAsia="仿宋" w:cs="Times New Roman"/>
          <w:color w:val="auto"/>
          <w:sz w:val="32"/>
          <w:szCs w:val="32"/>
        </w:rPr>
        <w:t>第十</w:t>
      </w:r>
      <w:r>
        <w:rPr>
          <w:rFonts w:hint="eastAsia" w:ascii="仿宋" w:hAnsi="仿宋" w:eastAsia="仿宋" w:cs="Times New Roman"/>
          <w:color w:val="auto"/>
          <w:sz w:val="32"/>
          <w:szCs w:val="32"/>
        </w:rPr>
        <w:t>八</w:t>
      </w:r>
      <w:r>
        <w:rPr>
          <w:rFonts w:ascii="仿宋" w:hAnsi="仿宋" w:eastAsia="仿宋" w:cs="Times New Roman"/>
          <w:color w:val="auto"/>
          <w:sz w:val="32"/>
          <w:szCs w:val="32"/>
        </w:rPr>
        <w:t>条第四</w:t>
      </w:r>
      <w:r>
        <w:rPr>
          <w:rFonts w:hint="eastAsia" w:ascii="仿宋" w:hAnsi="仿宋" w:eastAsia="仿宋" w:cs="Times New Roman"/>
          <w:color w:val="auto"/>
          <w:sz w:val="32"/>
          <w:szCs w:val="32"/>
        </w:rPr>
        <w:t>项</w:t>
      </w:r>
      <w:r>
        <w:rPr>
          <w:rFonts w:ascii="仿宋" w:hAnsi="仿宋" w:eastAsia="仿宋" w:cs="Times New Roman"/>
          <w:color w:val="auto"/>
          <w:sz w:val="32"/>
          <w:szCs w:val="32"/>
        </w:rPr>
        <w:t>规定的自律监管措施的</w:t>
      </w:r>
      <w:r>
        <w:rPr>
          <w:rFonts w:hint="eastAsia" w:ascii="仿宋" w:hAnsi="仿宋" w:eastAsia="仿宋" w:cs="Times New Roman"/>
          <w:color w:val="auto"/>
          <w:sz w:val="32"/>
          <w:szCs w:val="32"/>
        </w:rPr>
        <w:t>，应当按照</w:t>
      </w:r>
      <w:r>
        <w:rPr>
          <w:rFonts w:ascii="仿宋" w:hAnsi="仿宋" w:eastAsia="仿宋" w:cs="Times New Roman"/>
          <w:color w:val="auto"/>
          <w:sz w:val="32"/>
          <w:szCs w:val="32"/>
        </w:rPr>
        <w:t>本细则第三章第三节</w:t>
      </w:r>
      <w:r>
        <w:rPr>
          <w:rFonts w:hint="eastAsia" w:ascii="仿宋" w:hAnsi="仿宋" w:eastAsia="仿宋" w:cs="Times New Roman"/>
          <w:color w:val="auto"/>
          <w:sz w:val="32"/>
          <w:szCs w:val="32"/>
        </w:rPr>
        <w:t>规定的</w:t>
      </w:r>
      <w:r>
        <w:rPr>
          <w:rFonts w:ascii="仿宋" w:hAnsi="仿宋" w:eastAsia="仿宋" w:cs="Times New Roman"/>
          <w:color w:val="auto"/>
          <w:sz w:val="32"/>
          <w:szCs w:val="32"/>
        </w:rPr>
        <w:t>程序，提交本所纪律</w:t>
      </w:r>
      <w:r>
        <w:rPr>
          <w:rFonts w:hint="eastAsia" w:ascii="仿宋" w:hAnsi="仿宋" w:eastAsia="仿宋" w:cs="Times New Roman"/>
          <w:color w:val="auto"/>
          <w:sz w:val="32"/>
          <w:szCs w:val="32"/>
        </w:rPr>
        <w:t>处分</w:t>
      </w:r>
      <w:r>
        <w:rPr>
          <w:rFonts w:ascii="仿宋" w:hAnsi="仿宋" w:eastAsia="仿宋" w:cs="Times New Roman"/>
          <w:color w:val="auto"/>
          <w:sz w:val="32"/>
          <w:szCs w:val="32"/>
        </w:rPr>
        <w:t>委员会审议。</w:t>
      </w:r>
    </w:p>
    <w:p>
      <w:pPr>
        <w:pStyle w:val="16"/>
        <w:numPr>
          <w:ilvl w:val="0"/>
          <w:numId w:val="1"/>
        </w:numPr>
        <w:spacing w:before="240" w:after="240" w:line="600" w:lineRule="exact"/>
        <w:ind w:firstLine="0"/>
        <w:jc w:val="center"/>
        <w:rPr>
          <w:rFonts w:ascii="黑体" w:hAnsi="黑体" w:eastAsia="黑体" w:cs="Times New Roman"/>
          <w:color w:val="auto"/>
          <w:sz w:val="32"/>
          <w:szCs w:val="32"/>
        </w:rPr>
      </w:pPr>
      <w:r>
        <w:rPr>
          <w:rFonts w:ascii="黑体" w:hAnsi="黑体" w:eastAsia="黑体" w:cs="Times New Roman"/>
          <w:color w:val="auto"/>
          <w:sz w:val="32"/>
          <w:szCs w:val="32"/>
        </w:rPr>
        <w:t xml:space="preserve">  纪律处分</w:t>
      </w:r>
    </w:p>
    <w:p>
      <w:pPr>
        <w:pStyle w:val="16"/>
        <w:spacing w:before="240" w:after="240" w:line="600" w:lineRule="exact"/>
        <w:ind w:firstLine="0"/>
        <w:jc w:val="center"/>
        <w:rPr>
          <w:rFonts w:ascii="楷体" w:hAnsi="楷体" w:eastAsia="楷体" w:cs="Times New Roman"/>
          <w:color w:val="auto"/>
          <w:sz w:val="32"/>
          <w:szCs w:val="32"/>
        </w:rPr>
      </w:pPr>
      <w:r>
        <w:rPr>
          <w:rFonts w:ascii="楷体" w:hAnsi="楷体" w:eastAsia="楷体" w:cs="Times New Roman"/>
          <w:color w:val="auto"/>
          <w:sz w:val="32"/>
          <w:szCs w:val="32"/>
        </w:rPr>
        <w:t xml:space="preserve">第一节  </w:t>
      </w:r>
      <w:r>
        <w:rPr>
          <w:rFonts w:hint="eastAsia" w:ascii="楷体" w:hAnsi="楷体" w:eastAsia="楷体" w:cs="Times New Roman"/>
          <w:color w:val="auto"/>
          <w:sz w:val="32"/>
          <w:szCs w:val="32"/>
        </w:rPr>
        <w:t>纪律处分</w:t>
      </w:r>
      <w:r>
        <w:rPr>
          <w:rFonts w:ascii="楷体" w:hAnsi="楷体" w:eastAsia="楷体" w:cs="Times New Roman"/>
          <w:color w:val="auto"/>
          <w:sz w:val="32"/>
          <w:szCs w:val="32"/>
        </w:rPr>
        <w:t>的种类</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第三十九条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本所纪律处分包括：</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（一）通报批评，即</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在一定范围内或以公开方式对监管对象进行批评；</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（二）公开谴责，即</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以公开方式对监管对象进行谴责；</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（三）认定不适合担任相关职务，即</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以公开方式认定监管对象三年及以上不适合担任上市公司董事、监事、高级管理人员；</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（四）暂不接受证券发行人提交的发行上市申请文件，即在一定期间内不接受有关发行人或上市申请人提交的发行上市申请文件；</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（五）暂不接受证券发行人控股股东、实际控制人及其控制的其他发行人提交的发行上市申请文件，即在一定期间内不接受有关控股股东、实际控制人及其控制的其他发行人提交的发行上市申请文件；</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w:t>
      </w:r>
      <w:r>
        <w:rPr>
          <w:rStyle w:val="30"/>
          <w:rFonts w:hint="default"/>
        </w:rPr>
        <w:t>暂不受理机构或者其从业人员出具的相关业务文件，即本所在一定期限内不受理保荐承销机构、财务顾问、资信评级机构、受托管理人或者履行同等职责的机构、会计师事务所、资产评估机构、律师事务所等机构或者其相关人员提交或签字的相关业务文件；</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（七）收取惩罚性违约金，即本所对出现违规行为的发行人、上市公司及相关市场主体、会员等，按照协议以及本所业务规则的规定，收取一定金额的违约金；</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（八）暂停或者限制交易权限，即本所对存在违规的会员或者其他交易参与人，暂停或者限制部分或者全部交易单元的交易品种、方式、规模等交易权限；</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（九）取消交易权限，即本所对存在违规的会员或者其他交易参与人，关闭其相关交易单元的交易品种、方式、规模等交易权限；</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（十）取消交易参与人资格，</w:t>
      </w:r>
      <w:r>
        <w:rPr>
          <w:rFonts w:hint="eastAsia" w:ascii="仿宋" w:hAnsi="仿宋" w:eastAsia="仿宋" w:cs="Times New Roman"/>
          <w:color w:val="auto"/>
          <w:sz w:val="32"/>
          <w:szCs w:val="32"/>
        </w:rPr>
        <w:t>即对存在违规的交易参与人，取消其交易参与人资格；</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（十一）取消会员资格，即对存在违规的会员，取消其会员资格；</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（十二）本所规定的其他纪律处分。</w:t>
      </w:r>
    </w:p>
    <w:p>
      <w:pPr>
        <w:pStyle w:val="16"/>
        <w:spacing w:before="240" w:after="240" w:line="600" w:lineRule="exact"/>
        <w:ind w:firstLine="0"/>
        <w:jc w:val="center"/>
        <w:rPr>
          <w:rFonts w:ascii="楷体" w:hAnsi="楷体" w:eastAsia="楷体" w:cs="Times New Roman"/>
          <w:color w:val="auto"/>
          <w:sz w:val="32"/>
          <w:szCs w:val="32"/>
        </w:rPr>
      </w:pPr>
      <w:r>
        <w:rPr>
          <w:rFonts w:ascii="楷体" w:hAnsi="楷体" w:eastAsia="楷体" w:cs="Times New Roman"/>
          <w:color w:val="auto"/>
          <w:sz w:val="32"/>
          <w:szCs w:val="32"/>
        </w:rPr>
        <w:t xml:space="preserve">第二节  </w:t>
      </w:r>
      <w:r>
        <w:rPr>
          <w:rFonts w:hint="eastAsia" w:ascii="楷体" w:hAnsi="楷体" w:eastAsia="楷体" w:cs="Times New Roman"/>
          <w:color w:val="auto"/>
          <w:sz w:val="32"/>
          <w:szCs w:val="32"/>
        </w:rPr>
        <w:t>纪律处分委员会</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第四十条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本所设纪律处分委员会，纪律处分委员会通过会议形式进行审议，对相关事项形成审议意见。</w:t>
      </w:r>
    </w:p>
    <w:p>
      <w:pPr>
        <w:pStyle w:val="16"/>
        <w:spacing w:line="600" w:lineRule="exact"/>
        <w:ind w:firstLine="640" w:firstLineChars="200"/>
        <w:rPr>
          <w:rFonts w:ascii="仿宋" w:hAnsi="仿宋" w:eastAsia="仿宋" w:cs="Times New Roman"/>
          <w:color w:val="auto"/>
          <w:sz w:val="32"/>
          <w:szCs w:val="32"/>
        </w:rPr>
      </w:pPr>
      <w:r>
        <w:rPr>
          <w:rFonts w:hint="eastAsia" w:ascii="黑体" w:hAnsi="黑体" w:eastAsia="黑体" w:cs="Times New Roman"/>
          <w:color w:val="auto"/>
          <w:sz w:val="32"/>
          <w:szCs w:val="32"/>
        </w:rPr>
        <w:t>第四十一条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纪律处分委员会委员由本所相关专业人员和外部</w:t>
      </w:r>
      <w:r>
        <w:rPr>
          <w:rFonts w:ascii="仿宋" w:hAnsi="仿宋" w:eastAsia="仿宋" w:cs="Times New Roman"/>
          <w:color w:val="auto"/>
          <w:sz w:val="32"/>
          <w:szCs w:val="32"/>
        </w:rPr>
        <w:t>有关专家</w:t>
      </w:r>
      <w:r>
        <w:rPr>
          <w:rFonts w:hint="eastAsia" w:ascii="仿宋" w:hAnsi="仿宋" w:eastAsia="仿宋" w:cs="Times New Roman"/>
          <w:color w:val="auto"/>
          <w:sz w:val="32"/>
          <w:szCs w:val="32"/>
        </w:rPr>
        <w:t>组成。</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纪律</w:t>
      </w:r>
      <w:r>
        <w:rPr>
          <w:rFonts w:ascii="仿宋" w:hAnsi="仿宋" w:eastAsia="仿宋" w:cs="Times New Roman"/>
          <w:sz w:val="32"/>
          <w:szCs w:val="32"/>
        </w:rPr>
        <w:t>处分委员会根据工作需要设主任委员、副主任委员。</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0"/>
          <w:sz w:val="32"/>
          <w:szCs w:val="32"/>
        </w:rPr>
        <w:t>本所</w:t>
      </w:r>
      <w:r>
        <w:rPr>
          <w:rFonts w:ascii="Times New Roman" w:hAnsi="Times New Roman" w:eastAsia="仿宋" w:cs="Times New Roman"/>
          <w:kern w:val="0"/>
          <w:sz w:val="32"/>
          <w:szCs w:val="32"/>
        </w:rPr>
        <w:t>可以根据需要对纪律处分委员会委员进行调整。</w:t>
      </w:r>
    </w:p>
    <w:p>
      <w:pPr>
        <w:pStyle w:val="16"/>
        <w:spacing w:line="600" w:lineRule="exact"/>
        <w:ind w:firstLine="640" w:firstLineChars="200"/>
        <w:rPr>
          <w:rFonts w:ascii="Times New Roman" w:hAnsi="Times New Roman" w:eastAsia="仿宋" w:cs="Times New Roman"/>
          <w:sz w:val="32"/>
          <w:szCs w:val="32"/>
        </w:rPr>
      </w:pPr>
      <w:r>
        <w:rPr>
          <w:rFonts w:ascii="黑体" w:hAnsi="黑体" w:eastAsia="黑体" w:cs="Times New Roman"/>
          <w:color w:val="auto"/>
          <w:sz w:val="32"/>
          <w:szCs w:val="32"/>
        </w:rPr>
        <w:t>第四十二条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Times New Roman" w:hAnsi="Times New Roman" w:eastAsia="仿宋" w:cs="Times New Roman"/>
          <w:sz w:val="32"/>
          <w:szCs w:val="32"/>
        </w:rPr>
        <w:t>纪律处分委员会委员</w:t>
      </w:r>
      <w:r>
        <w:rPr>
          <w:rFonts w:hint="eastAsia" w:ascii="Times New Roman" w:hAnsi="Times New Roman" w:eastAsia="仿宋" w:cs="Times New Roman"/>
          <w:sz w:val="32"/>
          <w:szCs w:val="32"/>
        </w:rPr>
        <w:t>由本所聘任,</w:t>
      </w:r>
      <w:r>
        <w:rPr>
          <w:rFonts w:ascii="Times New Roman" w:hAnsi="Times New Roman" w:eastAsia="仿宋" w:cs="Times New Roman"/>
          <w:sz w:val="32"/>
          <w:szCs w:val="32"/>
        </w:rPr>
        <w:t>每届任期3年，可以连任。</w:t>
      </w:r>
    </w:p>
    <w:p>
      <w:pPr>
        <w:pStyle w:val="16"/>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纪律处分委员会委员应当具备下列条件：</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（一）坚持原则、公正廉洁；</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（二）熟悉证券市场情况及本所自律管理业务；</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（三）熟悉有关证券法律、法规、行政规章和本所业务规则</w:t>
      </w:r>
      <w:r>
        <w:rPr>
          <w:rFonts w:hint="eastAsia" w:ascii="Times New Roman" w:hAnsi="Times New Roman" w:eastAsia="仿宋" w:cs="Times New Roman"/>
          <w:kern w:val="0"/>
          <w:sz w:val="32"/>
          <w:szCs w:val="32"/>
        </w:rPr>
        <w:t>；</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（四）本所要求的其他条件。</w:t>
      </w:r>
    </w:p>
    <w:p>
      <w:pPr>
        <w:spacing w:line="600" w:lineRule="exact"/>
        <w:ind w:firstLine="640" w:firstLineChars="200"/>
        <w:rPr>
          <w:rFonts w:ascii="Times New Roman" w:hAnsi="Times New Roman" w:eastAsia="仿宋" w:cs="Times New Roman"/>
          <w:kern w:val="0"/>
          <w:sz w:val="32"/>
          <w:szCs w:val="32"/>
        </w:rPr>
      </w:pPr>
      <w:r>
        <w:rPr>
          <w:rFonts w:ascii="黑体" w:hAnsi="黑体" w:eastAsia="黑体" w:cs="Times New Roman"/>
          <w:kern w:val="0"/>
          <w:sz w:val="32"/>
          <w:szCs w:val="32"/>
          <w:lang w:val="zh-CN"/>
        </w:rPr>
        <w:t>第</w:t>
      </w:r>
      <w:r>
        <w:rPr>
          <w:rFonts w:hint="eastAsia" w:ascii="黑体" w:hAnsi="黑体" w:eastAsia="黑体" w:cs="Times New Roman"/>
          <w:kern w:val="0"/>
          <w:sz w:val="32"/>
          <w:szCs w:val="32"/>
          <w:lang w:val="zh-CN"/>
        </w:rPr>
        <w:t>四十三</w:t>
      </w:r>
      <w:r>
        <w:rPr>
          <w:rFonts w:ascii="黑体" w:hAnsi="黑体" w:eastAsia="黑体" w:cs="Times New Roman"/>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Times New Roman" w:hAnsi="Times New Roman" w:eastAsia="仿宋" w:cs="Times New Roman"/>
          <w:kern w:val="0"/>
          <w:sz w:val="32"/>
          <w:szCs w:val="32"/>
        </w:rPr>
        <w:t>纪律处分委员会委员有下列情形之一的，予以解聘：</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（一）任期内因职务变动不宜继续担任纪律处分委员会委员；</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（二）连续两次无故缺席</w:t>
      </w:r>
      <w:r>
        <w:rPr>
          <w:rFonts w:hint="eastAsia" w:ascii="Times New Roman" w:hAnsi="Times New Roman" w:eastAsia="仿宋" w:cs="Times New Roman"/>
          <w:kern w:val="0"/>
          <w:sz w:val="32"/>
          <w:szCs w:val="32"/>
        </w:rPr>
        <w:t>审议</w:t>
      </w:r>
      <w:r>
        <w:rPr>
          <w:rFonts w:ascii="Times New Roman" w:hAnsi="Times New Roman" w:eastAsia="仿宋" w:cs="Times New Roman"/>
          <w:kern w:val="0"/>
          <w:sz w:val="32"/>
          <w:szCs w:val="32"/>
        </w:rPr>
        <w:t>；</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（三）任期内严重渎职或者违反纪律处分委员会工作纪律；</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（四）本人提出书面辞职申请并获批准；</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（五）不适合担任纪律处分委员会委员的其他情形。</w:t>
      </w:r>
    </w:p>
    <w:p>
      <w:pPr>
        <w:pStyle w:val="16"/>
        <w:spacing w:line="600" w:lineRule="exact"/>
        <w:ind w:firstLine="640" w:firstLineChars="200"/>
        <w:rPr>
          <w:rFonts w:ascii="Times New Roman" w:hAnsi="Times New Roman" w:eastAsia="仿宋" w:cs="Times New Roman"/>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四十</w:t>
      </w:r>
      <w:r>
        <w:rPr>
          <w:rFonts w:ascii="黑体" w:hAnsi="黑体" w:eastAsia="黑体" w:cs="Times New Roman"/>
          <w:color w:val="auto"/>
          <w:sz w:val="32"/>
          <w:szCs w:val="32"/>
        </w:rPr>
        <w:t>四条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Times New Roman" w:hAnsi="Times New Roman" w:eastAsia="仿宋" w:cs="Times New Roman"/>
          <w:sz w:val="32"/>
          <w:szCs w:val="32"/>
        </w:rPr>
        <w:t>纪律处分委员会委员出席纪律处分审议会议，</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根据自身专业判断，独立发表意见并行使表决权。</w:t>
      </w:r>
    </w:p>
    <w:p>
      <w:pPr>
        <w:pStyle w:val="16"/>
        <w:spacing w:line="600" w:lineRule="exact"/>
        <w:ind w:firstLine="640" w:firstLineChars="200"/>
        <w:rPr>
          <w:rFonts w:ascii="仿宋" w:hAnsi="仿宋" w:eastAsia="仿宋" w:cs="Times New Roman"/>
          <w:bCs/>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四十五</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bCs/>
          <w:color w:val="auto"/>
          <w:sz w:val="32"/>
          <w:szCs w:val="32"/>
        </w:rPr>
        <w:t>纪律处分委员会委员履行职责时，应当遵守下列规定：</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（一）勤勉尽</w:t>
      </w:r>
      <w:r>
        <w:rPr>
          <w:rFonts w:hint="eastAsia" w:ascii="Times New Roman" w:hAnsi="Times New Roman" w:eastAsia="仿宋" w:cs="Times New Roman"/>
          <w:kern w:val="0"/>
          <w:sz w:val="32"/>
          <w:szCs w:val="32"/>
        </w:rPr>
        <w:t>责</w:t>
      </w:r>
      <w:r>
        <w:rPr>
          <w:rFonts w:ascii="Times New Roman" w:hAnsi="Times New Roman" w:eastAsia="仿宋" w:cs="Times New Roman"/>
          <w:kern w:val="0"/>
          <w:sz w:val="32"/>
          <w:szCs w:val="32"/>
        </w:rPr>
        <w:t>，认真审阅纪律处分相关材料；</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（二）按时</w:t>
      </w:r>
      <w:r>
        <w:rPr>
          <w:rFonts w:hint="eastAsia" w:ascii="Times New Roman" w:hAnsi="Times New Roman" w:eastAsia="仿宋" w:cs="Times New Roman"/>
          <w:kern w:val="0"/>
          <w:sz w:val="32"/>
          <w:szCs w:val="32"/>
        </w:rPr>
        <w:t>出席</w:t>
      </w:r>
      <w:r>
        <w:rPr>
          <w:rFonts w:ascii="Times New Roman" w:hAnsi="Times New Roman" w:eastAsia="仿宋" w:cs="Times New Roman"/>
          <w:kern w:val="0"/>
          <w:sz w:val="32"/>
          <w:szCs w:val="32"/>
        </w:rPr>
        <w:t>会议，独立公正地发表意见；</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（三）不得泄露会议内容、表决情况及其他有关事项；</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（四）不得私下与纪律处分事项有关的单位或者个人接触，不得接受其馈赠；</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（五）不得利用在履行职责时获取的非公开信息，为本人或他人谋取利益。</w:t>
      </w:r>
    </w:p>
    <w:p>
      <w:pPr>
        <w:spacing w:line="600" w:lineRule="exact"/>
        <w:ind w:firstLine="640" w:firstLineChars="200"/>
        <w:rPr>
          <w:rFonts w:ascii="Times New Roman" w:hAnsi="Times New Roman" w:eastAsia="仿宋" w:cs="Times New Roman"/>
          <w:kern w:val="0"/>
          <w:sz w:val="32"/>
          <w:szCs w:val="32"/>
        </w:rPr>
      </w:pPr>
      <w:r>
        <w:rPr>
          <w:rFonts w:ascii="黑体" w:hAnsi="黑体" w:eastAsia="黑体" w:cs="Times New Roman"/>
          <w:kern w:val="0"/>
          <w:sz w:val="32"/>
          <w:szCs w:val="32"/>
          <w:lang w:val="zh-CN"/>
        </w:rPr>
        <w:t>第</w:t>
      </w:r>
      <w:r>
        <w:rPr>
          <w:rFonts w:hint="eastAsia" w:ascii="黑体" w:hAnsi="黑体" w:eastAsia="黑体" w:cs="Times New Roman"/>
          <w:kern w:val="0"/>
          <w:sz w:val="32"/>
          <w:szCs w:val="32"/>
          <w:lang w:val="zh-CN"/>
        </w:rPr>
        <w:t>四十六</w:t>
      </w:r>
      <w:r>
        <w:rPr>
          <w:rFonts w:ascii="黑体" w:hAnsi="黑体" w:eastAsia="黑体" w:cs="Times New Roman"/>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Times New Roman" w:hAnsi="Times New Roman" w:eastAsia="仿宋" w:cs="Times New Roman"/>
          <w:kern w:val="0"/>
          <w:sz w:val="32"/>
          <w:szCs w:val="32"/>
        </w:rPr>
        <w:t>纪律处分委员会委员在审议纪律处分事项中，遇有下列情形之一的，应当回避：</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（一）担任该纪律处分事项的直接监管人员；</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（二）本人及其近亲属是纪律处分对象，或者担任作为纪律处分对象的董事、监事、高级管理人员或类似职责人员</w:t>
      </w:r>
      <w:r>
        <w:rPr>
          <w:rFonts w:hint="eastAsia" w:ascii="Times New Roman" w:hAnsi="Times New Roman" w:eastAsia="仿宋" w:cs="Times New Roman"/>
          <w:kern w:val="0"/>
          <w:sz w:val="32"/>
          <w:szCs w:val="32"/>
        </w:rPr>
        <w:t>；</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（三）本人及其近亲属持有作为纪律处分对象5%以上股份或者是其实际控制人，或者担任持有该纪律处分对象5%以上股份的股东、实际控制人的董事、监事、高级管理人员；</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（四）与纪律处分事项有其他利害关系，可能影响公正处理</w:t>
      </w:r>
      <w:r>
        <w:rPr>
          <w:rFonts w:hint="eastAsia" w:ascii="Times New Roman" w:hAnsi="Times New Roman" w:eastAsia="仿宋" w:cs="Times New Roman"/>
          <w:kern w:val="0"/>
          <w:sz w:val="32"/>
          <w:szCs w:val="32"/>
        </w:rPr>
        <w:t>。</w:t>
      </w:r>
    </w:p>
    <w:p>
      <w:pPr>
        <w:spacing w:before="312" w:beforeLines="100" w:after="312" w:afterLines="100" w:line="600" w:lineRule="exact"/>
        <w:ind w:firstLine="640" w:firstLineChars="200"/>
        <w:jc w:val="center"/>
        <w:rPr>
          <w:rFonts w:ascii="楷体" w:hAnsi="楷体" w:eastAsia="楷体" w:cs="Times New Roman"/>
          <w:sz w:val="32"/>
          <w:szCs w:val="32"/>
        </w:rPr>
      </w:pPr>
      <w:r>
        <w:rPr>
          <w:rFonts w:hint="eastAsia" w:ascii="楷体" w:hAnsi="楷体" w:eastAsia="楷体" w:cs="Times New Roman"/>
          <w:sz w:val="32"/>
          <w:szCs w:val="32"/>
        </w:rPr>
        <w:t>第三节 纪律处分的</w:t>
      </w:r>
      <w:r>
        <w:rPr>
          <w:rFonts w:ascii="楷体" w:hAnsi="楷体" w:eastAsia="楷体" w:cs="Times New Roman"/>
          <w:sz w:val="32"/>
          <w:szCs w:val="32"/>
        </w:rPr>
        <w:t>实施程序</w:t>
      </w:r>
    </w:p>
    <w:p>
      <w:pPr>
        <w:spacing w:line="600" w:lineRule="exact"/>
        <w:ind w:firstLine="640" w:firstLineChars="200"/>
        <w:rPr>
          <w:rFonts w:ascii="Times New Roman" w:hAnsi="Times New Roman" w:eastAsia="仿宋" w:cs="Times New Roman"/>
          <w:kern w:val="0"/>
          <w:sz w:val="32"/>
          <w:szCs w:val="32"/>
        </w:rPr>
      </w:pPr>
      <w:r>
        <w:rPr>
          <w:rFonts w:ascii="黑体" w:hAnsi="黑体" w:eastAsia="黑体" w:cs="Times New Roman"/>
          <w:kern w:val="0"/>
          <w:sz w:val="32"/>
          <w:szCs w:val="32"/>
          <w:lang w:val="zh-CN"/>
        </w:rPr>
        <w:t>第</w:t>
      </w:r>
      <w:r>
        <w:rPr>
          <w:rFonts w:hint="eastAsia" w:ascii="黑体" w:hAnsi="黑体" w:eastAsia="黑体" w:cs="Times New Roman"/>
          <w:kern w:val="0"/>
          <w:sz w:val="32"/>
          <w:szCs w:val="32"/>
          <w:lang w:val="zh-CN"/>
        </w:rPr>
        <w:t>四十七</w:t>
      </w:r>
      <w:r>
        <w:rPr>
          <w:rFonts w:ascii="黑体" w:hAnsi="黑体" w:eastAsia="黑体" w:cs="Times New Roman"/>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Times New Roman" w:hAnsi="Times New Roman" w:eastAsia="仿宋" w:cs="Times New Roman"/>
          <w:kern w:val="0"/>
          <w:sz w:val="32"/>
          <w:szCs w:val="32"/>
        </w:rPr>
        <w:t>本所业务部门认为应对监管对象实施纪律处分或第三十八条所列自律监管措施的</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应当以部门名义向监管对象发送纪律处分事先告知书或自律监管措施事先告知书</w:t>
      </w:r>
      <w:r>
        <w:rPr>
          <w:rFonts w:hint="eastAsia" w:ascii="Times New Roman" w:hAnsi="Times New Roman" w:eastAsia="仿宋" w:cs="Times New Roman"/>
          <w:kern w:val="0"/>
          <w:sz w:val="32"/>
          <w:szCs w:val="32"/>
        </w:rPr>
        <w:t>。但属于下列情形之一的除外：</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w:t>
      </w:r>
      <w:r>
        <w:rPr>
          <w:rFonts w:ascii="仿宋" w:hAnsi="仿宋" w:eastAsia="仿宋" w:cs="Times New Roman"/>
          <w:color w:val="auto"/>
          <w:sz w:val="32"/>
          <w:szCs w:val="32"/>
        </w:rPr>
        <w:t>本所认为违规事实清楚且情况紧急，需要立即实施纪律处分或自律监管措施的</w:t>
      </w:r>
      <w:r>
        <w:rPr>
          <w:rFonts w:hint="eastAsia" w:ascii="仿宋" w:hAnsi="仿宋" w:eastAsia="仿宋" w:cs="Times New Roman"/>
          <w:color w:val="auto"/>
          <w:sz w:val="32"/>
          <w:szCs w:val="32"/>
        </w:rPr>
        <w:t>；</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（二）拟实施</w:t>
      </w:r>
      <w:r>
        <w:rPr>
          <w:rFonts w:ascii="仿宋" w:hAnsi="仿宋" w:eastAsia="仿宋" w:cs="Times New Roman"/>
          <w:color w:val="auto"/>
          <w:sz w:val="32"/>
          <w:szCs w:val="32"/>
        </w:rPr>
        <w:t>限制证券账户交易的自律监管措施</w:t>
      </w:r>
      <w:r>
        <w:rPr>
          <w:rFonts w:hint="eastAsia" w:ascii="仿宋" w:hAnsi="仿宋" w:eastAsia="仿宋" w:cs="Times New Roman"/>
          <w:color w:val="auto"/>
          <w:sz w:val="32"/>
          <w:szCs w:val="32"/>
        </w:rPr>
        <w:t>；</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（三）发送事先告知书可能对纪律处分或自律监管措施实施效果产生重大影响的其他情形。</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四十八</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纪律处分事先告知书应当向监管对象说明违规事实、拟实施的纪律处分及其适用理由、适用规则，并</w:t>
      </w:r>
      <w:r>
        <w:rPr>
          <w:rFonts w:hint="eastAsia" w:ascii="仿宋" w:hAnsi="仿宋" w:eastAsia="仿宋" w:cs="Times New Roman"/>
          <w:color w:val="auto"/>
          <w:sz w:val="32"/>
          <w:szCs w:val="32"/>
        </w:rPr>
        <w:t>要求其在五个交易日内予以书面答复。</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监管对象应当在收到前款事先告知书后</w:t>
      </w:r>
      <w:r>
        <w:rPr>
          <w:rFonts w:hint="eastAsia" w:ascii="仿宋" w:hAnsi="仿宋" w:eastAsia="仿宋" w:cs="Times New Roman"/>
          <w:color w:val="auto"/>
          <w:sz w:val="32"/>
          <w:szCs w:val="32"/>
        </w:rPr>
        <w:t>五个交易日内，书面回复是否接受本所将实施的纪律处分。</w:t>
      </w:r>
      <w:r>
        <w:rPr>
          <w:rFonts w:ascii="仿宋" w:hAnsi="仿宋" w:eastAsia="仿宋" w:cs="Times New Roman"/>
          <w:color w:val="auto"/>
          <w:sz w:val="32"/>
          <w:szCs w:val="32"/>
        </w:rPr>
        <w:t>如</w:t>
      </w:r>
      <w:r>
        <w:rPr>
          <w:rFonts w:hint="eastAsia" w:ascii="仿宋" w:hAnsi="仿宋" w:eastAsia="仿宋" w:cs="Times New Roman"/>
          <w:color w:val="auto"/>
          <w:sz w:val="32"/>
          <w:szCs w:val="32"/>
        </w:rPr>
        <w:t>对将实施的纪律处分有异议的，应当提交书面申辩材料。</w:t>
      </w:r>
    </w:p>
    <w:p>
      <w:pPr>
        <w:pStyle w:val="16"/>
        <w:spacing w:line="60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根据本所业务规则属于听证范围的，监管对象可以要求举行听证，但按照本细则第四十七条的规定未发送事先告知书的除外。</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四十九</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监管对象在纪律处分事先告知书规定时间内未提交书面申辩</w:t>
      </w:r>
      <w:r>
        <w:rPr>
          <w:rFonts w:hint="eastAsia" w:ascii="仿宋" w:hAnsi="仿宋" w:eastAsia="仿宋" w:cs="Times New Roman"/>
          <w:color w:val="auto"/>
          <w:sz w:val="32"/>
          <w:szCs w:val="32"/>
        </w:rPr>
        <w:t>或虽提交书面申辩，但本所业务部门仍然认为需要给予其纪律处分的，业务部门应当及时提起召开纪律处分会审议。</w:t>
      </w:r>
    </w:p>
    <w:p>
      <w:pPr>
        <w:pStyle w:val="16"/>
        <w:spacing w:line="600" w:lineRule="exact"/>
        <w:ind w:firstLine="640" w:firstLineChars="200"/>
        <w:rPr>
          <w:rFonts w:ascii="Times New Roman" w:hAnsi="Times New Roman" w:eastAsia="仿宋" w:cs="Times New Roman"/>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五十</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Times New Roman" w:hAnsi="Times New Roman" w:eastAsia="仿宋" w:cs="Times New Roman"/>
          <w:sz w:val="32"/>
          <w:szCs w:val="32"/>
        </w:rPr>
        <w:t>纪律处分委员会通过会议形式对纪律处分事项进行审议。每次会议参会委员原则上不少于</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名，其中设召集人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名。</w:t>
      </w:r>
    </w:p>
    <w:p>
      <w:pPr>
        <w:pStyle w:val="16"/>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拟实施</w:t>
      </w:r>
      <w:r>
        <w:rPr>
          <w:rFonts w:ascii="仿宋" w:hAnsi="仿宋" w:eastAsia="仿宋" w:cs="Times New Roman"/>
          <w:color w:val="auto"/>
          <w:sz w:val="32"/>
          <w:szCs w:val="32"/>
        </w:rPr>
        <w:t>限制证券账户交易</w:t>
      </w:r>
      <w:r>
        <w:rPr>
          <w:rFonts w:hint="eastAsia" w:ascii="仿宋" w:hAnsi="仿宋" w:eastAsia="仿宋" w:cs="Times New Roman"/>
          <w:color w:val="auto"/>
          <w:sz w:val="32"/>
          <w:szCs w:val="32"/>
        </w:rPr>
        <w:t>措施，或</w:t>
      </w:r>
      <w:r>
        <w:rPr>
          <w:rFonts w:hint="eastAsia" w:ascii="Times New Roman" w:hAnsi="Times New Roman" w:eastAsia="仿宋" w:cs="Times New Roman"/>
          <w:sz w:val="32"/>
          <w:szCs w:val="32"/>
        </w:rPr>
        <w:t>违规行为事实</w:t>
      </w:r>
      <w:r>
        <w:rPr>
          <w:rFonts w:ascii="Times New Roman" w:hAnsi="Times New Roman" w:eastAsia="仿宋" w:cs="Times New Roman"/>
          <w:sz w:val="32"/>
          <w:szCs w:val="32"/>
        </w:rPr>
        <w:t>清楚</w:t>
      </w:r>
      <w:r>
        <w:rPr>
          <w:rFonts w:hint="eastAsia" w:ascii="Times New Roman" w:hAnsi="Times New Roman" w:eastAsia="仿宋" w:cs="Times New Roman"/>
          <w:sz w:val="32"/>
          <w:szCs w:val="32"/>
        </w:rPr>
        <w:t>且</w:t>
      </w:r>
      <w:r>
        <w:rPr>
          <w:rFonts w:ascii="Times New Roman" w:hAnsi="Times New Roman" w:eastAsia="仿宋" w:cs="Times New Roman"/>
          <w:sz w:val="32"/>
          <w:szCs w:val="32"/>
        </w:rPr>
        <w:t>不涉及重大无先例</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，可以由</w:t>
      </w:r>
      <w:r>
        <w:rPr>
          <w:rFonts w:hint="eastAsia" w:ascii="Times New Roman" w:hAnsi="Times New Roman" w:eastAsia="仿宋" w:cs="Times New Roman"/>
          <w:sz w:val="32"/>
          <w:szCs w:val="32"/>
        </w:rPr>
        <w:t>3名委员审议。</w:t>
      </w:r>
    </w:p>
    <w:p>
      <w:pPr>
        <w:pStyle w:val="29"/>
        <w:spacing w:line="600" w:lineRule="exact"/>
        <w:ind w:firstLine="636" w:firstLineChars="199"/>
        <w:rPr>
          <w:rFonts w:ascii="Times New Roman" w:hAnsi="Times New Roman" w:eastAsia="仿宋"/>
          <w:sz w:val="32"/>
          <w:szCs w:val="32"/>
        </w:rPr>
      </w:pPr>
      <w:r>
        <w:rPr>
          <w:rFonts w:ascii="黑体" w:hAnsi="黑体" w:eastAsia="黑体"/>
          <w:kern w:val="0"/>
          <w:sz w:val="32"/>
          <w:szCs w:val="32"/>
          <w:lang w:val="zh-CN"/>
        </w:rPr>
        <w:t>第</w:t>
      </w:r>
      <w:r>
        <w:rPr>
          <w:rFonts w:hint="eastAsia" w:ascii="黑体" w:hAnsi="黑体" w:eastAsia="黑体"/>
          <w:kern w:val="0"/>
          <w:sz w:val="32"/>
          <w:szCs w:val="32"/>
          <w:lang w:val="zh-CN"/>
        </w:rPr>
        <w:t>五十一</w:t>
      </w:r>
      <w:r>
        <w:rPr>
          <w:rFonts w:ascii="黑体" w:hAnsi="黑体" w:eastAsia="黑体"/>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Times New Roman" w:hAnsi="Times New Roman" w:eastAsia="仿宋"/>
          <w:sz w:val="32"/>
          <w:szCs w:val="32"/>
        </w:rPr>
        <w:t>审议会议由召集人主持，并按照下列程序进行：</w:t>
      </w:r>
    </w:p>
    <w:p>
      <w:pPr>
        <w:pStyle w:val="29"/>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（一）参会委员听取有关事项，并询问相关情况；</w:t>
      </w:r>
    </w:p>
    <w:p>
      <w:pPr>
        <w:pStyle w:val="29"/>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（二）召集人组织参会委员对审议事项逐一发表个人审议意见；</w:t>
      </w:r>
    </w:p>
    <w:p>
      <w:pPr>
        <w:pStyle w:val="29"/>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（三）参会委员填写表决票；</w:t>
      </w:r>
    </w:p>
    <w:p>
      <w:pPr>
        <w:pStyle w:val="29"/>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（四</w:t>
      </w:r>
      <w:r>
        <w:rPr>
          <w:rFonts w:ascii="Times New Roman" w:hAnsi="Times New Roman" w:eastAsia="仿宋"/>
          <w:sz w:val="32"/>
          <w:szCs w:val="32"/>
        </w:rPr>
        <w:t>）</w:t>
      </w:r>
      <w:r>
        <w:rPr>
          <w:rFonts w:hint="eastAsia" w:ascii="Times New Roman" w:hAnsi="Times New Roman" w:eastAsia="仿宋"/>
          <w:sz w:val="32"/>
          <w:szCs w:val="32"/>
        </w:rPr>
        <w:t>召集人宣布表决结果，并形成审议意见。</w:t>
      </w:r>
    </w:p>
    <w:p>
      <w:pPr>
        <w:pStyle w:val="29"/>
        <w:spacing w:line="600" w:lineRule="exact"/>
        <w:ind w:firstLine="640"/>
        <w:rPr>
          <w:rFonts w:ascii="Times New Roman" w:hAnsi="Times New Roman" w:eastAsia="仿宋"/>
          <w:sz w:val="32"/>
          <w:szCs w:val="32"/>
        </w:rPr>
      </w:pPr>
      <w:r>
        <w:rPr>
          <w:rFonts w:hint="eastAsia" w:ascii="黑体" w:hAnsi="黑体" w:eastAsia="黑体"/>
          <w:kern w:val="0"/>
          <w:sz w:val="32"/>
          <w:szCs w:val="32"/>
          <w:lang w:val="zh-CN"/>
        </w:rPr>
        <w:t>第</w:t>
      </w:r>
      <w:r>
        <w:rPr>
          <w:rFonts w:ascii="黑体" w:hAnsi="黑体" w:eastAsia="黑体"/>
          <w:kern w:val="0"/>
          <w:sz w:val="32"/>
          <w:szCs w:val="32"/>
          <w:lang w:val="zh-CN"/>
        </w:rPr>
        <w:t>五十二条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Times New Roman" w:hAnsi="Times New Roman" w:eastAsia="仿宋"/>
          <w:sz w:val="32"/>
          <w:szCs w:val="32"/>
        </w:rPr>
        <w:t>纪律处分委员会根据表决结果明确如下审议意见：</w:t>
      </w:r>
    </w:p>
    <w:p>
      <w:pPr>
        <w:pStyle w:val="29"/>
        <w:spacing w:line="600" w:lineRule="exact"/>
        <w:ind w:firstLine="640"/>
        <w:rPr>
          <w:rFonts w:ascii="Times New Roman" w:hAnsi="Times New Roman" w:eastAsia="仿宋"/>
          <w:sz w:val="32"/>
          <w:szCs w:val="32"/>
        </w:rPr>
      </w:pPr>
      <w:r>
        <w:rPr>
          <w:rFonts w:ascii="Times New Roman" w:hAnsi="Times New Roman" w:eastAsia="仿宋"/>
          <w:sz w:val="32"/>
          <w:szCs w:val="32"/>
        </w:rPr>
        <w:t>（一）认为违规事实清楚，证据充分，适用规则正确，处分</w:t>
      </w:r>
      <w:r>
        <w:rPr>
          <w:rFonts w:hint="eastAsia" w:ascii="Times New Roman" w:hAnsi="Times New Roman" w:eastAsia="仿宋"/>
          <w:sz w:val="32"/>
          <w:szCs w:val="32"/>
        </w:rPr>
        <w:t>措施</w:t>
      </w:r>
      <w:r>
        <w:rPr>
          <w:rFonts w:ascii="Times New Roman" w:hAnsi="Times New Roman" w:eastAsia="仿宋"/>
          <w:sz w:val="32"/>
          <w:szCs w:val="32"/>
        </w:rPr>
        <w:t>适当的，表决通过，</w:t>
      </w:r>
      <w:r>
        <w:rPr>
          <w:rFonts w:hint="eastAsia" w:ascii="Times New Roman" w:hAnsi="Times New Roman" w:eastAsia="仿宋"/>
          <w:sz w:val="32"/>
          <w:szCs w:val="32"/>
        </w:rPr>
        <w:t>决定</w:t>
      </w:r>
      <w:r>
        <w:rPr>
          <w:rFonts w:ascii="Times New Roman" w:hAnsi="Times New Roman" w:eastAsia="仿宋"/>
          <w:sz w:val="32"/>
          <w:szCs w:val="32"/>
        </w:rPr>
        <w:t>实施纪律处分；</w:t>
      </w:r>
    </w:p>
    <w:p>
      <w:pPr>
        <w:pStyle w:val="29"/>
        <w:spacing w:line="600" w:lineRule="exact"/>
        <w:ind w:firstLine="640"/>
        <w:rPr>
          <w:rFonts w:ascii="Times New Roman" w:hAnsi="Times New Roman" w:eastAsia="仿宋"/>
          <w:sz w:val="32"/>
          <w:szCs w:val="32"/>
        </w:rPr>
      </w:pPr>
      <w:r>
        <w:rPr>
          <w:rFonts w:ascii="Times New Roman" w:hAnsi="Times New Roman" w:eastAsia="仿宋"/>
          <w:sz w:val="32"/>
          <w:szCs w:val="32"/>
        </w:rPr>
        <w:t>（二）认为违规事实清楚，证据充分，但存在适用规则或者处分</w:t>
      </w:r>
      <w:r>
        <w:rPr>
          <w:rFonts w:hint="eastAsia" w:ascii="Times New Roman" w:hAnsi="Times New Roman" w:eastAsia="仿宋"/>
          <w:sz w:val="32"/>
          <w:szCs w:val="32"/>
        </w:rPr>
        <w:t>方式</w:t>
      </w:r>
      <w:r>
        <w:rPr>
          <w:rFonts w:ascii="Times New Roman" w:hAnsi="Times New Roman" w:eastAsia="仿宋"/>
          <w:sz w:val="32"/>
          <w:szCs w:val="32"/>
        </w:rPr>
        <w:t>不当等情形的，表决通过，同时对适用</w:t>
      </w:r>
      <w:r>
        <w:rPr>
          <w:rFonts w:hint="eastAsia" w:ascii="Times New Roman" w:hAnsi="Times New Roman" w:eastAsia="仿宋"/>
          <w:sz w:val="32"/>
          <w:szCs w:val="32"/>
        </w:rPr>
        <w:t>规则</w:t>
      </w:r>
      <w:r>
        <w:rPr>
          <w:rFonts w:ascii="Times New Roman" w:hAnsi="Times New Roman" w:eastAsia="仿宋"/>
          <w:sz w:val="32"/>
          <w:szCs w:val="32"/>
        </w:rPr>
        <w:t>或</w:t>
      </w:r>
      <w:r>
        <w:rPr>
          <w:rFonts w:hint="eastAsia" w:ascii="Times New Roman" w:hAnsi="Times New Roman" w:eastAsia="仿宋"/>
          <w:sz w:val="32"/>
          <w:szCs w:val="32"/>
        </w:rPr>
        <w:t>处分方式提出明确意见</w:t>
      </w:r>
      <w:r>
        <w:rPr>
          <w:rFonts w:ascii="Times New Roman" w:hAnsi="Times New Roman" w:eastAsia="仿宋"/>
          <w:sz w:val="32"/>
          <w:szCs w:val="32"/>
        </w:rPr>
        <w:t>；</w:t>
      </w:r>
    </w:p>
    <w:p>
      <w:pPr>
        <w:pStyle w:val="29"/>
        <w:spacing w:line="600" w:lineRule="exact"/>
        <w:ind w:firstLine="640"/>
        <w:rPr>
          <w:rFonts w:ascii="Times New Roman" w:hAnsi="Times New Roman" w:eastAsia="仿宋"/>
          <w:sz w:val="32"/>
          <w:szCs w:val="32"/>
        </w:rPr>
      </w:pPr>
      <w:r>
        <w:rPr>
          <w:rFonts w:ascii="Times New Roman" w:hAnsi="Times New Roman" w:eastAsia="仿宋"/>
          <w:sz w:val="32"/>
          <w:szCs w:val="32"/>
        </w:rPr>
        <w:t>（三）认为违规事实不清，证据不足，或遗漏违规事实、</w:t>
      </w:r>
      <w:r>
        <w:rPr>
          <w:rFonts w:hint="eastAsia" w:ascii="Times New Roman" w:hAnsi="Times New Roman" w:eastAsia="仿宋"/>
          <w:sz w:val="32"/>
          <w:szCs w:val="32"/>
        </w:rPr>
        <w:t>责任主体</w:t>
      </w:r>
      <w:r>
        <w:rPr>
          <w:rFonts w:ascii="Times New Roman" w:hAnsi="Times New Roman" w:eastAsia="仿宋"/>
          <w:sz w:val="32"/>
          <w:szCs w:val="32"/>
        </w:rPr>
        <w:t>等情形的，暂缓表决；</w:t>
      </w:r>
      <w:r>
        <w:rPr>
          <w:rFonts w:hint="eastAsia" w:ascii="Times New Roman" w:hAnsi="Times New Roman" w:eastAsia="仿宋"/>
          <w:sz w:val="32"/>
          <w:szCs w:val="32"/>
        </w:rPr>
        <w:t>部分责任主体违规事实清楚的，可以先行处理；纪律</w:t>
      </w:r>
      <w:r>
        <w:rPr>
          <w:rFonts w:ascii="Times New Roman" w:hAnsi="Times New Roman" w:eastAsia="仿宋"/>
          <w:sz w:val="32"/>
          <w:szCs w:val="32"/>
        </w:rPr>
        <w:t>处分</w:t>
      </w:r>
      <w:r>
        <w:rPr>
          <w:rFonts w:hint="eastAsia" w:ascii="Times New Roman" w:hAnsi="Times New Roman" w:eastAsia="仿宋"/>
          <w:sz w:val="32"/>
          <w:szCs w:val="32"/>
        </w:rPr>
        <w:t>委员会</w:t>
      </w:r>
      <w:r>
        <w:rPr>
          <w:rFonts w:ascii="Times New Roman" w:hAnsi="Times New Roman" w:eastAsia="仿宋"/>
          <w:sz w:val="32"/>
          <w:szCs w:val="32"/>
        </w:rPr>
        <w:t>应对暂缓表决的事由和需要补充核查的事项发表明确意见，业务部门根据</w:t>
      </w:r>
      <w:r>
        <w:rPr>
          <w:rFonts w:hint="eastAsia" w:ascii="Times New Roman" w:hAnsi="Times New Roman" w:eastAsia="仿宋"/>
          <w:sz w:val="32"/>
          <w:szCs w:val="32"/>
        </w:rPr>
        <w:t>该</w:t>
      </w:r>
      <w:r>
        <w:rPr>
          <w:rFonts w:ascii="Times New Roman" w:hAnsi="Times New Roman" w:eastAsia="仿宋"/>
          <w:sz w:val="32"/>
          <w:szCs w:val="32"/>
        </w:rPr>
        <w:t>意见进行</w:t>
      </w:r>
      <w:r>
        <w:rPr>
          <w:rFonts w:hint="eastAsia" w:ascii="Times New Roman" w:hAnsi="Times New Roman" w:eastAsia="仿宋"/>
          <w:sz w:val="32"/>
          <w:szCs w:val="32"/>
        </w:rPr>
        <w:t>补充</w:t>
      </w:r>
      <w:r>
        <w:rPr>
          <w:rFonts w:ascii="Times New Roman" w:hAnsi="Times New Roman" w:eastAsia="仿宋"/>
          <w:sz w:val="32"/>
          <w:szCs w:val="32"/>
        </w:rPr>
        <w:t>核查或作出相应处理</w:t>
      </w:r>
      <w:r>
        <w:rPr>
          <w:rFonts w:hint="eastAsia" w:ascii="Times New Roman" w:hAnsi="Times New Roman" w:eastAsia="仿宋"/>
          <w:sz w:val="32"/>
          <w:szCs w:val="32"/>
        </w:rPr>
        <w:t>；</w:t>
      </w:r>
    </w:p>
    <w:p>
      <w:pPr>
        <w:pStyle w:val="29"/>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（四）</w:t>
      </w:r>
      <w:r>
        <w:rPr>
          <w:rFonts w:ascii="Times New Roman" w:hAnsi="Times New Roman" w:eastAsia="仿宋"/>
          <w:sz w:val="32"/>
          <w:szCs w:val="32"/>
        </w:rPr>
        <w:t>认为违反本所业务规则，</w:t>
      </w:r>
      <w:r>
        <w:rPr>
          <w:rFonts w:hint="eastAsia" w:ascii="Times New Roman" w:hAnsi="Times New Roman" w:eastAsia="仿宋"/>
          <w:sz w:val="32"/>
          <w:szCs w:val="32"/>
        </w:rPr>
        <w:t>无需</w:t>
      </w:r>
      <w:r>
        <w:rPr>
          <w:rFonts w:ascii="Times New Roman" w:hAnsi="Times New Roman" w:eastAsia="仿宋"/>
          <w:sz w:val="32"/>
          <w:szCs w:val="32"/>
        </w:rPr>
        <w:t>采取纪律处分，但应</w:t>
      </w:r>
      <w:r>
        <w:rPr>
          <w:rFonts w:hint="eastAsia" w:ascii="Times New Roman" w:hAnsi="Times New Roman" w:eastAsia="仿宋"/>
          <w:sz w:val="32"/>
          <w:szCs w:val="32"/>
        </w:rPr>
        <w:t>当</w:t>
      </w:r>
      <w:r>
        <w:rPr>
          <w:rFonts w:ascii="Times New Roman" w:hAnsi="Times New Roman" w:eastAsia="仿宋"/>
          <w:sz w:val="32"/>
          <w:szCs w:val="32"/>
        </w:rPr>
        <w:t>采取自律监管措施的，</w:t>
      </w:r>
      <w:r>
        <w:rPr>
          <w:rFonts w:hint="eastAsia" w:ascii="Times New Roman" w:hAnsi="Times New Roman" w:eastAsia="仿宋"/>
          <w:sz w:val="32"/>
          <w:szCs w:val="32"/>
        </w:rPr>
        <w:t>决定采取</w:t>
      </w:r>
      <w:r>
        <w:rPr>
          <w:rFonts w:ascii="Times New Roman" w:hAnsi="Times New Roman" w:eastAsia="仿宋"/>
          <w:sz w:val="32"/>
          <w:szCs w:val="32"/>
        </w:rPr>
        <w:t>自律监管措施</w:t>
      </w:r>
      <w:r>
        <w:rPr>
          <w:rFonts w:hint="eastAsia" w:ascii="Times New Roman" w:hAnsi="Times New Roman" w:eastAsia="仿宋"/>
          <w:sz w:val="32"/>
          <w:szCs w:val="32"/>
        </w:rPr>
        <w:t>；</w:t>
      </w:r>
    </w:p>
    <w:p>
      <w:pPr>
        <w:pStyle w:val="29"/>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（五）认为情节显著轻微可以酌情</w:t>
      </w:r>
      <w:r>
        <w:rPr>
          <w:rFonts w:ascii="Times New Roman" w:hAnsi="Times New Roman" w:eastAsia="仿宋"/>
          <w:sz w:val="32"/>
          <w:szCs w:val="32"/>
        </w:rPr>
        <w:t>不予处理的</w:t>
      </w:r>
      <w:r>
        <w:rPr>
          <w:rFonts w:hint="eastAsia" w:ascii="Times New Roman" w:hAnsi="Times New Roman" w:eastAsia="仿宋"/>
          <w:sz w:val="32"/>
          <w:szCs w:val="32"/>
        </w:rPr>
        <w:t>或无充分</w:t>
      </w:r>
      <w:r>
        <w:rPr>
          <w:rFonts w:ascii="Times New Roman" w:hAnsi="Times New Roman" w:eastAsia="仿宋"/>
          <w:sz w:val="32"/>
          <w:szCs w:val="32"/>
        </w:rPr>
        <w:t>有效</w:t>
      </w:r>
      <w:r>
        <w:rPr>
          <w:rFonts w:hint="eastAsia" w:ascii="Times New Roman" w:hAnsi="Times New Roman" w:eastAsia="仿宋"/>
          <w:sz w:val="32"/>
          <w:szCs w:val="32"/>
        </w:rPr>
        <w:t>证据证明监管</w:t>
      </w:r>
      <w:r>
        <w:rPr>
          <w:rFonts w:ascii="Times New Roman" w:hAnsi="Times New Roman" w:eastAsia="仿宋"/>
          <w:sz w:val="32"/>
          <w:szCs w:val="32"/>
        </w:rPr>
        <w:t>对象</w:t>
      </w:r>
      <w:r>
        <w:rPr>
          <w:rFonts w:hint="eastAsia" w:ascii="Times New Roman" w:hAnsi="Times New Roman" w:eastAsia="仿宋"/>
          <w:sz w:val="32"/>
          <w:szCs w:val="32"/>
        </w:rPr>
        <w:t>负有责任的，表决不予处理。</w:t>
      </w:r>
    </w:p>
    <w:p>
      <w:pPr>
        <w:pStyle w:val="29"/>
        <w:spacing w:line="600" w:lineRule="exact"/>
        <w:ind w:firstLine="640"/>
        <w:rPr>
          <w:rFonts w:ascii="Times New Roman" w:hAnsi="Times New Roman" w:eastAsia="仿宋"/>
          <w:sz w:val="32"/>
          <w:szCs w:val="32"/>
        </w:rPr>
      </w:pPr>
      <w:r>
        <w:rPr>
          <w:rFonts w:ascii="黑体" w:hAnsi="黑体" w:eastAsia="黑体"/>
          <w:kern w:val="0"/>
          <w:sz w:val="32"/>
          <w:szCs w:val="32"/>
          <w:lang w:val="zh-CN"/>
        </w:rPr>
        <w:t>第</w:t>
      </w:r>
      <w:r>
        <w:rPr>
          <w:rFonts w:hint="eastAsia" w:ascii="黑体" w:hAnsi="黑体" w:eastAsia="黑体"/>
          <w:kern w:val="0"/>
          <w:sz w:val="32"/>
          <w:szCs w:val="32"/>
          <w:lang w:val="zh-CN"/>
        </w:rPr>
        <w:t>五十三</w:t>
      </w:r>
      <w:r>
        <w:rPr>
          <w:rFonts w:ascii="黑体" w:hAnsi="黑体" w:eastAsia="黑体"/>
          <w:kern w:val="0"/>
          <w:sz w:val="32"/>
          <w:szCs w:val="32"/>
          <w:lang w:val="zh-CN"/>
        </w:rPr>
        <w:t>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w:t>
      </w:r>
      <w:r>
        <w:rPr>
          <w:rFonts w:ascii="Times New Roman" w:hAnsi="Times New Roman" w:eastAsia="仿宋"/>
          <w:sz w:val="32"/>
          <w:szCs w:val="32"/>
        </w:rPr>
        <w:t>审议会议的表决以记名方式进行，表决票设同意票和反对票两种</w:t>
      </w:r>
      <w:r>
        <w:rPr>
          <w:rFonts w:hint="eastAsia" w:ascii="Times New Roman" w:hAnsi="Times New Roman" w:eastAsia="仿宋"/>
          <w:sz w:val="32"/>
          <w:szCs w:val="32"/>
        </w:rPr>
        <w:t>，通过</w:t>
      </w:r>
      <w:r>
        <w:rPr>
          <w:rFonts w:ascii="Times New Roman" w:hAnsi="Times New Roman" w:eastAsia="仿宋"/>
          <w:sz w:val="32"/>
          <w:szCs w:val="32"/>
        </w:rPr>
        <w:t>表决事项需同意票数</w:t>
      </w:r>
      <w:r>
        <w:rPr>
          <w:rFonts w:hint="eastAsia" w:ascii="Times New Roman" w:hAnsi="Times New Roman" w:eastAsia="仿宋"/>
          <w:sz w:val="32"/>
          <w:szCs w:val="32"/>
        </w:rPr>
        <w:t>超过半数</w:t>
      </w:r>
      <w:r>
        <w:rPr>
          <w:rFonts w:ascii="Times New Roman" w:hAnsi="Times New Roman" w:eastAsia="仿宋"/>
          <w:sz w:val="32"/>
          <w:szCs w:val="32"/>
        </w:rPr>
        <w:t>。</w:t>
      </w:r>
    </w:p>
    <w:p>
      <w:pPr>
        <w:pStyle w:val="29"/>
        <w:spacing w:line="600" w:lineRule="exact"/>
        <w:ind w:firstLine="640"/>
        <w:rPr>
          <w:rFonts w:ascii="Times New Roman" w:hAnsi="Times New Roman" w:eastAsia="仿宋"/>
          <w:bCs/>
          <w:kern w:val="0"/>
          <w:sz w:val="32"/>
          <w:szCs w:val="32"/>
        </w:rPr>
      </w:pPr>
      <w:r>
        <w:rPr>
          <w:rFonts w:hint="eastAsia" w:ascii="黑体" w:hAnsi="黑体" w:eastAsia="黑体"/>
          <w:kern w:val="0"/>
          <w:sz w:val="32"/>
          <w:szCs w:val="32"/>
          <w:lang w:val="zh-CN"/>
        </w:rPr>
        <w:t>第五十四条</w:t>
      </w:r>
      <w:r>
        <w:rPr>
          <w:rFonts w:ascii="Times New Roman" w:hAnsi="Times New Roman" w:eastAsia="仿宋"/>
          <w:bCs/>
          <w:kern w:val="0"/>
          <w:sz w:val="32"/>
          <w:szCs w:val="32"/>
        </w:rPr>
        <w:t xml:space="preserve"> </w:t>
      </w:r>
      <w:r>
        <w:rPr>
          <w:rFonts w:hint="eastAsia" w:ascii="Times New Roman" w:hAnsi="Times New Roman" w:eastAsia="仿宋"/>
          <w:bCs/>
          <w:kern w:val="0"/>
          <w:sz w:val="32"/>
          <w:szCs w:val="32"/>
        </w:rPr>
        <w:t xml:space="preserve"> 属于下列情形之一的，纪律处分委员会可以进行通讯表决，形成审议意见：</w:t>
      </w:r>
    </w:p>
    <w:p>
      <w:pPr>
        <w:pStyle w:val="29"/>
        <w:spacing w:line="600" w:lineRule="exact"/>
        <w:ind w:firstLine="579" w:firstLineChars="181"/>
        <w:rPr>
          <w:rFonts w:ascii="Times New Roman" w:hAnsi="Times New Roman" w:eastAsia="仿宋"/>
          <w:bCs/>
          <w:kern w:val="0"/>
          <w:sz w:val="32"/>
          <w:szCs w:val="32"/>
        </w:rPr>
      </w:pPr>
      <w:r>
        <w:rPr>
          <w:rFonts w:hint="eastAsia" w:ascii="Times New Roman" w:hAnsi="Times New Roman" w:eastAsia="仿宋"/>
          <w:bCs/>
          <w:kern w:val="0"/>
          <w:sz w:val="32"/>
          <w:szCs w:val="32"/>
        </w:rPr>
        <w:t>（一）拟实施限制证券账户交易的措施；</w:t>
      </w:r>
    </w:p>
    <w:p>
      <w:pPr>
        <w:pStyle w:val="29"/>
        <w:spacing w:line="600" w:lineRule="exact"/>
        <w:ind w:firstLine="579" w:firstLineChars="181"/>
        <w:rPr>
          <w:rFonts w:ascii="Times New Roman" w:hAnsi="Times New Roman" w:eastAsia="仿宋"/>
          <w:bCs/>
          <w:kern w:val="0"/>
          <w:sz w:val="32"/>
          <w:szCs w:val="32"/>
        </w:rPr>
      </w:pPr>
      <w:r>
        <w:rPr>
          <w:rFonts w:hint="eastAsia" w:ascii="Times New Roman" w:hAnsi="Times New Roman" w:eastAsia="仿宋"/>
          <w:bCs/>
          <w:kern w:val="0"/>
          <w:sz w:val="32"/>
          <w:szCs w:val="32"/>
        </w:rPr>
        <w:t>（二）</w:t>
      </w:r>
      <w:r>
        <w:rPr>
          <w:rFonts w:ascii="Times New Roman" w:hAnsi="Times New Roman" w:eastAsia="仿宋"/>
          <w:bCs/>
          <w:kern w:val="0"/>
          <w:sz w:val="32"/>
          <w:szCs w:val="32"/>
        </w:rPr>
        <w:t>监管对象书面表示接受事先告知书所提出的处分的</w:t>
      </w:r>
      <w:r>
        <w:rPr>
          <w:rFonts w:hint="eastAsia" w:ascii="Times New Roman" w:hAnsi="Times New Roman" w:eastAsia="仿宋"/>
          <w:bCs/>
          <w:kern w:val="0"/>
          <w:sz w:val="32"/>
          <w:szCs w:val="32"/>
        </w:rPr>
        <w:t>；</w:t>
      </w:r>
    </w:p>
    <w:p>
      <w:pPr>
        <w:pStyle w:val="29"/>
        <w:spacing w:line="600" w:lineRule="exact"/>
        <w:ind w:firstLine="579" w:firstLineChars="181"/>
        <w:rPr>
          <w:rFonts w:ascii="Times New Roman" w:hAnsi="Times New Roman" w:eastAsia="仿宋"/>
          <w:bCs/>
          <w:kern w:val="0"/>
          <w:sz w:val="32"/>
          <w:szCs w:val="32"/>
        </w:rPr>
      </w:pPr>
      <w:r>
        <w:rPr>
          <w:rFonts w:hint="eastAsia" w:ascii="Times New Roman" w:hAnsi="Times New Roman" w:eastAsia="仿宋"/>
          <w:bCs/>
          <w:kern w:val="0"/>
          <w:sz w:val="32"/>
          <w:szCs w:val="32"/>
        </w:rPr>
        <w:t>（</w:t>
      </w:r>
      <w:r>
        <w:rPr>
          <w:rFonts w:ascii="Times New Roman" w:hAnsi="Times New Roman" w:eastAsia="仿宋"/>
          <w:bCs/>
          <w:kern w:val="0"/>
          <w:sz w:val="32"/>
          <w:szCs w:val="32"/>
        </w:rPr>
        <w:t>三）</w:t>
      </w:r>
      <w:r>
        <w:rPr>
          <w:rFonts w:hint="eastAsia" w:ascii="Times New Roman" w:hAnsi="Times New Roman" w:eastAsia="仿宋"/>
          <w:bCs/>
          <w:kern w:val="0"/>
          <w:sz w:val="32"/>
          <w:szCs w:val="32"/>
        </w:rPr>
        <w:t>事实清楚、情况紧急，需要立即启动纪律处分或自律监管措施程序。</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五十</w:t>
      </w:r>
      <w:r>
        <w:rPr>
          <w:rFonts w:ascii="黑体" w:hAnsi="黑体" w:eastAsia="黑体" w:cs="Times New Roman"/>
          <w:color w:val="auto"/>
          <w:sz w:val="32"/>
          <w:szCs w:val="32"/>
        </w:rPr>
        <w:t>五条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本所根据纪律处分委员会的审议意见，作出纪律处分决定，向监管对象发送纪律处分决定书。</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纪律处分决定书中应当载明监管对象的违规事实、</w:t>
      </w:r>
      <w:r>
        <w:rPr>
          <w:rFonts w:hint="eastAsia" w:ascii="仿宋" w:hAnsi="仿宋" w:eastAsia="仿宋" w:cs="Times New Roman"/>
          <w:color w:val="auto"/>
          <w:sz w:val="32"/>
          <w:szCs w:val="32"/>
        </w:rPr>
        <w:t>监管对象的书面申辩理由及其采纳情况（如有）、适用</w:t>
      </w:r>
      <w:r>
        <w:rPr>
          <w:rFonts w:ascii="仿宋" w:hAnsi="仿宋" w:eastAsia="仿宋" w:cs="Times New Roman"/>
          <w:color w:val="auto"/>
          <w:sz w:val="32"/>
          <w:szCs w:val="32"/>
        </w:rPr>
        <w:t>规则</w:t>
      </w:r>
      <w:r>
        <w:rPr>
          <w:rFonts w:hint="eastAsia" w:ascii="仿宋" w:hAnsi="仿宋" w:eastAsia="仿宋" w:cs="Times New Roman"/>
          <w:color w:val="auto"/>
          <w:sz w:val="32"/>
          <w:szCs w:val="32"/>
        </w:rPr>
        <w:t>及</w:t>
      </w:r>
      <w:r>
        <w:rPr>
          <w:rFonts w:ascii="仿宋" w:hAnsi="仿宋" w:eastAsia="仿宋" w:cs="Times New Roman"/>
          <w:color w:val="auto"/>
          <w:sz w:val="32"/>
          <w:szCs w:val="32"/>
        </w:rPr>
        <w:t>决定实施的纪律处分。</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五十</w:t>
      </w:r>
      <w:r>
        <w:rPr>
          <w:rFonts w:ascii="黑体" w:hAnsi="黑体" w:eastAsia="黑体" w:cs="Times New Roman"/>
          <w:color w:val="auto"/>
          <w:sz w:val="32"/>
          <w:szCs w:val="32"/>
        </w:rPr>
        <w:t>六条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hint="eastAsia" w:ascii="仿宋" w:hAnsi="仿宋" w:eastAsia="仿宋" w:cs="Times New Roman"/>
          <w:color w:val="auto"/>
          <w:sz w:val="32"/>
          <w:szCs w:val="32"/>
        </w:rPr>
        <w:t>在纪律处分审议会议对审议事项形成意见后至纪律处分或自律监管措施决定作出前，有关事项出现新情况的，业务部门可以提请纪律处分委员会召开会后事项审议会，对该事项重新进行审议。</w:t>
      </w:r>
    </w:p>
    <w:p>
      <w:pPr>
        <w:pStyle w:val="16"/>
        <w:spacing w:before="240" w:after="240" w:line="600" w:lineRule="exact"/>
        <w:ind w:firstLine="0"/>
        <w:jc w:val="center"/>
        <w:rPr>
          <w:rFonts w:ascii="黑体" w:hAnsi="黑体" w:eastAsia="黑体" w:cs="Times New Roman"/>
          <w:color w:val="auto"/>
          <w:sz w:val="32"/>
          <w:szCs w:val="32"/>
        </w:rPr>
      </w:pPr>
      <w:r>
        <w:rPr>
          <w:rFonts w:ascii="黑体" w:hAnsi="黑体" w:eastAsia="黑体" w:cs="Times New Roman"/>
          <w:color w:val="auto"/>
          <w:sz w:val="32"/>
          <w:szCs w:val="32"/>
        </w:rPr>
        <w:t>第四章</w:t>
      </w:r>
      <w:r>
        <w:rPr>
          <w:rFonts w:hint="eastAsia" w:ascii="黑体" w:hAnsi="黑体" w:eastAsia="黑体" w:cs="Times New Roman"/>
          <w:color w:val="auto"/>
          <w:sz w:val="32"/>
          <w:szCs w:val="32"/>
        </w:rPr>
        <w:t xml:space="preserve">  </w:t>
      </w:r>
      <w:r>
        <w:rPr>
          <w:rFonts w:ascii="黑体" w:hAnsi="黑体" w:eastAsia="黑体" w:cs="Times New Roman"/>
          <w:color w:val="auto"/>
          <w:sz w:val="32"/>
          <w:szCs w:val="32"/>
        </w:rPr>
        <w:t>其他事项</w:t>
      </w:r>
    </w:p>
    <w:p>
      <w:pPr>
        <w:pStyle w:val="16"/>
        <w:spacing w:line="60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五十七</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heme="minorBidi"/>
          <w:kern w:val="2"/>
          <w:sz w:val="32"/>
          <w:szCs w:val="32"/>
          <w:lang w:val="en-US"/>
        </w:rPr>
        <w:t>本所或业务部门在实施自律监管措施或者纪律处分前可以进行现场检查，或者采取与有关人员进行谈话，发出问询、核查通知书等书面函件，调阅工作底稿等方式查明有关事实。</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五十八</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监管对象对本所实施的自律监管措施或纪律处分不服，</w:t>
      </w:r>
      <w:r>
        <w:rPr>
          <w:rFonts w:hint="eastAsia" w:ascii="仿宋" w:hAnsi="仿宋" w:eastAsia="仿宋" w:cs="Times New Roman"/>
          <w:color w:val="auto"/>
          <w:sz w:val="32"/>
          <w:szCs w:val="32"/>
        </w:rPr>
        <w:t>属于复核</w:t>
      </w:r>
      <w:r>
        <w:rPr>
          <w:rFonts w:ascii="仿宋" w:hAnsi="仿宋" w:eastAsia="仿宋" w:cs="Times New Roman"/>
          <w:color w:val="auto"/>
          <w:sz w:val="32"/>
          <w:szCs w:val="32"/>
        </w:rPr>
        <w:t>受理范围的，可以按照复核程序的相关规定，向</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复核委员会申请复核。</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复核期间自律监管措施和纪律处分不停止执行，本所业务规则另有规定的除外。</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五十九</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本所或业务部门可以通过电子系统、邮寄、公告、传真等方式向监管对象送达自律监管措施事先告知书、自律监管措施决定书、纪律处分事先告知书、纪律处分决定书及其他相关文件。</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监管对象是</w:t>
      </w:r>
      <w:r>
        <w:rPr>
          <w:rFonts w:hint="eastAsia" w:ascii="仿宋" w:hAnsi="仿宋" w:eastAsia="仿宋" w:cs="Times New Roman"/>
          <w:color w:val="auto"/>
          <w:sz w:val="32"/>
          <w:szCs w:val="32"/>
        </w:rPr>
        <w:t>投资者的，本所或业务部门可以通过其委托交易的会员或者其他交易参与人送达。监管对象为证券发行人董事、监事、高级管理人员、股东、实际控制人、收购人等自然人、机构及其相关人员，保荐机构及其保荐代表人、证券服务机构及其相关人员以及交易对手方等的，本所或业务部门可以通过证券发行人送达。监管对象是机构的工作人员的，本所或业务部门也可以通过相关机构送达。</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监管对象下落不明或者用其他方式无法送达的，</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或业务部门可以在</w:t>
      </w:r>
      <w:r>
        <w:rPr>
          <w:rFonts w:hint="eastAsia" w:ascii="仿宋" w:hAnsi="仿宋" w:eastAsia="仿宋" w:cs="Times New Roman"/>
          <w:color w:val="auto"/>
          <w:sz w:val="32"/>
          <w:szCs w:val="32"/>
        </w:rPr>
        <w:t>本所</w:t>
      </w:r>
      <w:r>
        <w:rPr>
          <w:rFonts w:ascii="仿宋" w:hAnsi="仿宋" w:eastAsia="仿宋" w:cs="Times New Roman"/>
          <w:color w:val="auto"/>
          <w:sz w:val="32"/>
          <w:szCs w:val="32"/>
        </w:rPr>
        <w:t>网站发布公告，自公告发布之日起</w:t>
      </w:r>
      <w:r>
        <w:rPr>
          <w:rFonts w:hint="eastAsia" w:ascii="仿宋" w:hAnsi="仿宋" w:eastAsia="仿宋" w:cs="Times New Roman"/>
          <w:color w:val="auto"/>
          <w:sz w:val="32"/>
          <w:szCs w:val="32"/>
        </w:rPr>
        <w:t>满</w:t>
      </w:r>
      <w:r>
        <w:rPr>
          <w:rFonts w:ascii="仿宋" w:hAnsi="仿宋" w:eastAsia="仿宋" w:cs="Times New Roman"/>
          <w:color w:val="auto"/>
          <w:sz w:val="32"/>
          <w:szCs w:val="32"/>
        </w:rPr>
        <w:t>十个交易日即视为送达。</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六十</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本所可以要求监管对象在符合</w:t>
      </w:r>
      <w:r>
        <w:rPr>
          <w:rFonts w:hint="eastAsia" w:ascii="仿宋" w:hAnsi="仿宋" w:eastAsia="仿宋" w:cs="Times New Roman"/>
          <w:color w:val="auto"/>
          <w:sz w:val="32"/>
          <w:szCs w:val="32"/>
        </w:rPr>
        <w:t>《证券法》规定的信息披露平台就被本所实施自律监管措施或者纪律处分的相关情况作出公告。相关监管对象未按要求公告的，本所可以根据情况进一步实施相关自律监管措施或者纪律处分。</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六十一</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 xml:space="preserve">本所将对监管对象实施的纪律处分和相关监管措施记入诚信档案，并可根据情况通报中国证监会及其派出机构、地方政府和行业自律组织。 </w:t>
      </w:r>
    </w:p>
    <w:p>
      <w:pPr>
        <w:pStyle w:val="16"/>
        <w:spacing w:line="600" w:lineRule="exac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本所在实施纪律处分和自律监管措施过程中，发现监管对象</w:t>
      </w:r>
      <w:r>
        <w:rPr>
          <w:rFonts w:hint="eastAsia" w:ascii="仿宋" w:hAnsi="仿宋" w:eastAsia="仿宋" w:cs="Times New Roman"/>
          <w:color w:val="auto"/>
          <w:sz w:val="32"/>
          <w:szCs w:val="32"/>
        </w:rPr>
        <w:t>及</w:t>
      </w:r>
      <w:r>
        <w:rPr>
          <w:rFonts w:ascii="仿宋" w:hAnsi="仿宋" w:eastAsia="仿宋" w:cs="Times New Roman"/>
          <w:color w:val="auto"/>
          <w:sz w:val="32"/>
          <w:szCs w:val="32"/>
        </w:rPr>
        <w:t>相关主体的行为涉嫌违反法律、行政法规或者中国证监会相关规定的，按照相关规定报告中国证监会。</w:t>
      </w:r>
    </w:p>
    <w:p>
      <w:pPr>
        <w:pStyle w:val="16"/>
        <w:spacing w:before="240" w:after="240" w:line="600" w:lineRule="exact"/>
        <w:ind w:firstLine="0"/>
        <w:jc w:val="center"/>
        <w:rPr>
          <w:rFonts w:ascii="黑体" w:hAnsi="黑体" w:eastAsia="黑体" w:cs="Times New Roman"/>
          <w:color w:val="auto"/>
          <w:sz w:val="32"/>
          <w:szCs w:val="32"/>
        </w:rPr>
      </w:pPr>
      <w:r>
        <w:rPr>
          <w:rFonts w:ascii="黑体" w:hAnsi="黑体" w:eastAsia="黑体" w:cs="Times New Roman"/>
          <w:color w:val="auto"/>
          <w:sz w:val="32"/>
          <w:szCs w:val="32"/>
        </w:rPr>
        <w:t>第五章</w:t>
      </w:r>
      <w:r>
        <w:rPr>
          <w:rFonts w:hint="eastAsia" w:ascii="黑体" w:hAnsi="黑体" w:eastAsia="黑体" w:cs="Times New Roman"/>
          <w:color w:val="auto"/>
          <w:sz w:val="32"/>
          <w:szCs w:val="32"/>
        </w:rPr>
        <w:t xml:space="preserve">  </w:t>
      </w:r>
      <w:r>
        <w:rPr>
          <w:rFonts w:ascii="黑体" w:hAnsi="黑体" w:eastAsia="黑体" w:cs="Times New Roman"/>
          <w:color w:val="auto"/>
          <w:sz w:val="32"/>
          <w:szCs w:val="32"/>
        </w:rPr>
        <w:t>附</w:t>
      </w:r>
      <w:r>
        <w:rPr>
          <w:rFonts w:hint="eastAsia" w:ascii="黑体" w:hAnsi="黑体" w:eastAsia="黑体" w:cs="Times New Roman"/>
          <w:color w:val="auto"/>
          <w:sz w:val="32"/>
          <w:szCs w:val="32"/>
        </w:rPr>
        <w:t xml:space="preserve"> </w:t>
      </w:r>
      <w:r>
        <w:rPr>
          <w:rFonts w:ascii="黑体" w:hAnsi="黑体" w:eastAsia="黑体" w:cs="Times New Roman"/>
          <w:color w:val="auto"/>
          <w:sz w:val="32"/>
          <w:szCs w:val="32"/>
        </w:rPr>
        <w:t xml:space="preserve"> 则</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六十二</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本细则由本所负责解释。</w:t>
      </w:r>
    </w:p>
    <w:p>
      <w:pPr>
        <w:pStyle w:val="16"/>
        <w:spacing w:line="600" w:lineRule="exact"/>
        <w:ind w:firstLine="640" w:firstLineChars="200"/>
        <w:rPr>
          <w:rFonts w:ascii="仿宋" w:hAnsi="仿宋"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rPr>
        <w:t>六十三</w:t>
      </w:r>
      <w:r>
        <w:rPr>
          <w:rFonts w:ascii="黑体" w:hAnsi="黑体" w:eastAsia="黑体" w:cs="Times New Roman"/>
          <w:color w:val="auto"/>
          <w:sz w:val="32"/>
          <w:szCs w:val="32"/>
        </w:rPr>
        <w:t>条</w:t>
      </w:r>
      <w:r>
        <w:rPr>
          <w:rFonts w:ascii="Times New Roman" w:hAnsi="Times New Roman" w:eastAsia="仿宋"/>
          <w:bCs/>
          <w:sz w:val="32"/>
          <w:szCs w:val="32"/>
        </w:rPr>
        <w:t xml:space="preserve"> </w:t>
      </w:r>
      <w:r>
        <w:rPr>
          <w:rFonts w:hint="eastAsia" w:ascii="Times New Roman" w:hAnsi="Times New Roman" w:eastAsia="仿宋"/>
          <w:bCs/>
          <w:sz w:val="32"/>
          <w:szCs w:val="32"/>
        </w:rPr>
        <w:t xml:space="preserve"> </w:t>
      </w:r>
      <w:r>
        <w:rPr>
          <w:rFonts w:ascii="仿宋" w:hAnsi="仿宋" w:eastAsia="仿宋" w:cs="Times New Roman"/>
          <w:color w:val="auto"/>
          <w:sz w:val="32"/>
          <w:szCs w:val="32"/>
        </w:rPr>
        <w:t>本细则</w:t>
      </w:r>
      <w:r>
        <w:rPr>
          <w:rFonts w:hint="eastAsia" w:ascii="Times New Roman" w:hAnsi="Times New Roman" w:eastAsia="仿宋" w:cs="Times New Roman"/>
          <w:sz w:val="32"/>
        </w:rPr>
        <w:t>自</w:t>
      </w:r>
      <w:r>
        <w:rPr>
          <w:rFonts w:ascii="Times New Roman" w:hAnsi="Times New Roman" w:eastAsia="仿宋" w:cs="Times New Roman"/>
          <w:sz w:val="32"/>
        </w:rPr>
        <w:t>2021</w:t>
      </w:r>
      <w:r>
        <w:rPr>
          <w:rFonts w:hint="eastAsia" w:ascii="Times New Roman" w:hAnsi="Times New Roman" w:eastAsia="仿宋" w:cs="Times New Roman"/>
          <w:sz w:val="32"/>
        </w:rPr>
        <w:t>年</w:t>
      </w:r>
      <w:r>
        <w:rPr>
          <w:rFonts w:ascii="Times New Roman" w:hAnsi="Times New Roman" w:eastAsia="仿宋" w:cs="Times New Roman"/>
          <w:sz w:val="32"/>
        </w:rPr>
        <w:t>11</w:t>
      </w:r>
      <w:r>
        <w:rPr>
          <w:rFonts w:hint="eastAsia" w:ascii="Times New Roman" w:hAnsi="Times New Roman" w:eastAsia="仿宋" w:cs="Times New Roman"/>
          <w:sz w:val="32"/>
        </w:rPr>
        <w:t>月</w:t>
      </w:r>
      <w:r>
        <w:rPr>
          <w:rFonts w:ascii="Times New Roman" w:hAnsi="Times New Roman" w:eastAsia="仿宋" w:cs="Times New Roman"/>
          <w:sz w:val="32"/>
        </w:rPr>
        <w:t>15</w:t>
      </w:r>
      <w:r>
        <w:rPr>
          <w:rFonts w:hint="eastAsia" w:ascii="Times New Roman" w:hAnsi="Times New Roman" w:eastAsia="仿宋" w:cs="Times New Roman"/>
          <w:sz w:val="32"/>
        </w:rPr>
        <w:t>日起</w:t>
      </w:r>
      <w:r>
        <w:rPr>
          <w:rFonts w:ascii="仿宋" w:hAnsi="仿宋" w:eastAsia="仿宋" w:cs="Times New Roman"/>
          <w:color w:val="auto"/>
          <w:sz w:val="32"/>
          <w:szCs w:val="32"/>
        </w:rPr>
        <w:t>施行。</w:t>
      </w:r>
    </w:p>
    <w:sectPr>
      <w:footerReference r:id="rId3" w:type="default"/>
      <w:footerReference r:id="rId4" w:type="even"/>
      <w:pgSz w:w="11906" w:h="16838"/>
      <w:pgMar w:top="1758" w:right="1588"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兰亭黑_GBK">
    <w:altName w:val="方正黑体_GBK"/>
    <w:panose1 w:val="00000000000000000000"/>
    <w:charset w:val="86"/>
    <w:family w:val="auto"/>
    <w:pitch w:val="default"/>
    <w:sig w:usb0="00000000" w:usb1="00000000" w:usb2="00000010" w:usb3="00000000" w:csb0="00040000" w:csb1="00000000"/>
  </w:font>
  <w:font w:name="方正书宋_GBK">
    <w:panose1 w:val="02000000000000000000"/>
    <w:charset w:val="86"/>
    <w:family w:val="script"/>
    <w:pitch w:val="default"/>
    <w:sig w:usb0="00000001" w:usb1="08000000" w:usb2="0000000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300298"/>
    </w:sdtPr>
    <w:sdtEndPr>
      <w:rPr>
        <w:rFonts w:ascii="宋体" w:hAnsi="宋体"/>
        <w:sz w:val="28"/>
      </w:rPr>
    </w:sdtEndPr>
    <w:sdtContent>
      <w:p>
        <w:pPr>
          <w:pStyle w:val="6"/>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19 -</w:t>
        </w:r>
        <w:r>
          <w:rPr>
            <w:rFonts w:ascii="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010462"/>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06223"/>
    <w:multiLevelType w:val="singleLevel"/>
    <w:tmpl w:val="5710622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02"/>
    <w:rsid w:val="000003DC"/>
    <w:rsid w:val="00001BF0"/>
    <w:rsid w:val="00003BF0"/>
    <w:rsid w:val="0000689F"/>
    <w:rsid w:val="00006A9C"/>
    <w:rsid w:val="00007D4A"/>
    <w:rsid w:val="00012201"/>
    <w:rsid w:val="00012379"/>
    <w:rsid w:val="0001703E"/>
    <w:rsid w:val="0002004E"/>
    <w:rsid w:val="00020A76"/>
    <w:rsid w:val="00022D8C"/>
    <w:rsid w:val="000250D4"/>
    <w:rsid w:val="00027B06"/>
    <w:rsid w:val="00033D31"/>
    <w:rsid w:val="00034D89"/>
    <w:rsid w:val="0003517E"/>
    <w:rsid w:val="00036B70"/>
    <w:rsid w:val="000377CE"/>
    <w:rsid w:val="000406B6"/>
    <w:rsid w:val="0004144E"/>
    <w:rsid w:val="00041974"/>
    <w:rsid w:val="00041A8D"/>
    <w:rsid w:val="000426AD"/>
    <w:rsid w:val="00047B49"/>
    <w:rsid w:val="00054662"/>
    <w:rsid w:val="0006159F"/>
    <w:rsid w:val="00063ED3"/>
    <w:rsid w:val="00065331"/>
    <w:rsid w:val="00065426"/>
    <w:rsid w:val="0006694C"/>
    <w:rsid w:val="000705AF"/>
    <w:rsid w:val="00072C1F"/>
    <w:rsid w:val="00073814"/>
    <w:rsid w:val="000820FE"/>
    <w:rsid w:val="00084C1C"/>
    <w:rsid w:val="00084F90"/>
    <w:rsid w:val="00085070"/>
    <w:rsid w:val="00085416"/>
    <w:rsid w:val="00086B25"/>
    <w:rsid w:val="0008726E"/>
    <w:rsid w:val="00090942"/>
    <w:rsid w:val="00091461"/>
    <w:rsid w:val="0009297D"/>
    <w:rsid w:val="000929EC"/>
    <w:rsid w:val="00095233"/>
    <w:rsid w:val="00095F22"/>
    <w:rsid w:val="00095F27"/>
    <w:rsid w:val="00097FBF"/>
    <w:rsid w:val="000A07BB"/>
    <w:rsid w:val="000A0928"/>
    <w:rsid w:val="000A417E"/>
    <w:rsid w:val="000A5AFE"/>
    <w:rsid w:val="000B02E8"/>
    <w:rsid w:val="000B0EF8"/>
    <w:rsid w:val="000B17BB"/>
    <w:rsid w:val="000B233B"/>
    <w:rsid w:val="000B314A"/>
    <w:rsid w:val="000B40C5"/>
    <w:rsid w:val="000B7310"/>
    <w:rsid w:val="000B7BBA"/>
    <w:rsid w:val="000B7C8C"/>
    <w:rsid w:val="000C01E4"/>
    <w:rsid w:val="000C0FC1"/>
    <w:rsid w:val="000C2750"/>
    <w:rsid w:val="000C2FFF"/>
    <w:rsid w:val="000C3036"/>
    <w:rsid w:val="000C7603"/>
    <w:rsid w:val="000C77D5"/>
    <w:rsid w:val="000D1174"/>
    <w:rsid w:val="000D2DCC"/>
    <w:rsid w:val="000D2E3D"/>
    <w:rsid w:val="000D4149"/>
    <w:rsid w:val="000D52AE"/>
    <w:rsid w:val="000D6F0D"/>
    <w:rsid w:val="000E01F6"/>
    <w:rsid w:val="000E0AD4"/>
    <w:rsid w:val="000E4BA5"/>
    <w:rsid w:val="000E7FB4"/>
    <w:rsid w:val="000F0A68"/>
    <w:rsid w:val="000F1653"/>
    <w:rsid w:val="000F3772"/>
    <w:rsid w:val="000F60AC"/>
    <w:rsid w:val="00100104"/>
    <w:rsid w:val="001015E5"/>
    <w:rsid w:val="00101B7D"/>
    <w:rsid w:val="00102167"/>
    <w:rsid w:val="00102239"/>
    <w:rsid w:val="00102A71"/>
    <w:rsid w:val="0010588C"/>
    <w:rsid w:val="00106AB1"/>
    <w:rsid w:val="00107595"/>
    <w:rsid w:val="001078E7"/>
    <w:rsid w:val="00107E99"/>
    <w:rsid w:val="001101DD"/>
    <w:rsid w:val="0011124B"/>
    <w:rsid w:val="0011546C"/>
    <w:rsid w:val="00115E29"/>
    <w:rsid w:val="00116462"/>
    <w:rsid w:val="0011784D"/>
    <w:rsid w:val="0012135C"/>
    <w:rsid w:val="001239F0"/>
    <w:rsid w:val="00124564"/>
    <w:rsid w:val="001323FC"/>
    <w:rsid w:val="00132567"/>
    <w:rsid w:val="0013302C"/>
    <w:rsid w:val="001330A9"/>
    <w:rsid w:val="00133EB2"/>
    <w:rsid w:val="001379BE"/>
    <w:rsid w:val="00137A99"/>
    <w:rsid w:val="001404B7"/>
    <w:rsid w:val="0014297A"/>
    <w:rsid w:val="00142FD6"/>
    <w:rsid w:val="00145E90"/>
    <w:rsid w:val="0014609E"/>
    <w:rsid w:val="0014634D"/>
    <w:rsid w:val="001505BC"/>
    <w:rsid w:val="00150D3E"/>
    <w:rsid w:val="00155CCA"/>
    <w:rsid w:val="001578ED"/>
    <w:rsid w:val="00160455"/>
    <w:rsid w:val="0016090C"/>
    <w:rsid w:val="001610D6"/>
    <w:rsid w:val="00161D50"/>
    <w:rsid w:val="00162B37"/>
    <w:rsid w:val="00164022"/>
    <w:rsid w:val="0016421E"/>
    <w:rsid w:val="00165444"/>
    <w:rsid w:val="00166054"/>
    <w:rsid w:val="001715C2"/>
    <w:rsid w:val="00171CE4"/>
    <w:rsid w:val="00172BB6"/>
    <w:rsid w:val="00173A40"/>
    <w:rsid w:val="00173CA0"/>
    <w:rsid w:val="001740A1"/>
    <w:rsid w:val="00174581"/>
    <w:rsid w:val="00174754"/>
    <w:rsid w:val="001748F8"/>
    <w:rsid w:val="00174C9A"/>
    <w:rsid w:val="0017531D"/>
    <w:rsid w:val="001771AC"/>
    <w:rsid w:val="001810FF"/>
    <w:rsid w:val="001833C0"/>
    <w:rsid w:val="00183BB8"/>
    <w:rsid w:val="0018484C"/>
    <w:rsid w:val="00184BA1"/>
    <w:rsid w:val="001877DF"/>
    <w:rsid w:val="00190671"/>
    <w:rsid w:val="00194A9F"/>
    <w:rsid w:val="00196767"/>
    <w:rsid w:val="00196FA2"/>
    <w:rsid w:val="001A0B70"/>
    <w:rsid w:val="001A70B3"/>
    <w:rsid w:val="001A7960"/>
    <w:rsid w:val="001A7E33"/>
    <w:rsid w:val="001B0547"/>
    <w:rsid w:val="001B2802"/>
    <w:rsid w:val="001B34B4"/>
    <w:rsid w:val="001B3ECE"/>
    <w:rsid w:val="001B4AA4"/>
    <w:rsid w:val="001B4DE1"/>
    <w:rsid w:val="001B64E8"/>
    <w:rsid w:val="001C2B5F"/>
    <w:rsid w:val="001C2C55"/>
    <w:rsid w:val="001C37A0"/>
    <w:rsid w:val="001C384A"/>
    <w:rsid w:val="001C3855"/>
    <w:rsid w:val="001C4617"/>
    <w:rsid w:val="001C6D7A"/>
    <w:rsid w:val="001C775F"/>
    <w:rsid w:val="001D3D4F"/>
    <w:rsid w:val="001D4704"/>
    <w:rsid w:val="001D7951"/>
    <w:rsid w:val="001D7CFF"/>
    <w:rsid w:val="001E3328"/>
    <w:rsid w:val="001E6E6F"/>
    <w:rsid w:val="001E70AF"/>
    <w:rsid w:val="001F02BE"/>
    <w:rsid w:val="001F1B99"/>
    <w:rsid w:val="001F38D2"/>
    <w:rsid w:val="001F4656"/>
    <w:rsid w:val="001F48ED"/>
    <w:rsid w:val="001F4A76"/>
    <w:rsid w:val="001F5047"/>
    <w:rsid w:val="001F7C88"/>
    <w:rsid w:val="00200F95"/>
    <w:rsid w:val="002064E8"/>
    <w:rsid w:val="00206934"/>
    <w:rsid w:val="00211480"/>
    <w:rsid w:val="00213F2F"/>
    <w:rsid w:val="0021609F"/>
    <w:rsid w:val="00216DC9"/>
    <w:rsid w:val="002205F7"/>
    <w:rsid w:val="002206A3"/>
    <w:rsid w:val="002217C6"/>
    <w:rsid w:val="002229FF"/>
    <w:rsid w:val="00222A04"/>
    <w:rsid w:val="00223470"/>
    <w:rsid w:val="0022371C"/>
    <w:rsid w:val="00224C93"/>
    <w:rsid w:val="002312E1"/>
    <w:rsid w:val="00231F00"/>
    <w:rsid w:val="00233AAC"/>
    <w:rsid w:val="00234AFA"/>
    <w:rsid w:val="00234D19"/>
    <w:rsid w:val="00235609"/>
    <w:rsid w:val="00235D81"/>
    <w:rsid w:val="002367D3"/>
    <w:rsid w:val="00240351"/>
    <w:rsid w:val="00240FF4"/>
    <w:rsid w:val="002451F0"/>
    <w:rsid w:val="00246FDC"/>
    <w:rsid w:val="002473BC"/>
    <w:rsid w:val="00250172"/>
    <w:rsid w:val="00250312"/>
    <w:rsid w:val="00250D2F"/>
    <w:rsid w:val="00254D33"/>
    <w:rsid w:val="002557D9"/>
    <w:rsid w:val="00255AC6"/>
    <w:rsid w:val="00260CA6"/>
    <w:rsid w:val="002614D6"/>
    <w:rsid w:val="00262D95"/>
    <w:rsid w:val="00263798"/>
    <w:rsid w:val="00263A0E"/>
    <w:rsid w:val="00264978"/>
    <w:rsid w:val="002677FF"/>
    <w:rsid w:val="00267850"/>
    <w:rsid w:val="002715AC"/>
    <w:rsid w:val="00271742"/>
    <w:rsid w:val="00273E7C"/>
    <w:rsid w:val="00276629"/>
    <w:rsid w:val="0027720C"/>
    <w:rsid w:val="002800D5"/>
    <w:rsid w:val="00282CFF"/>
    <w:rsid w:val="00285315"/>
    <w:rsid w:val="002935E7"/>
    <w:rsid w:val="002938B1"/>
    <w:rsid w:val="00293E8A"/>
    <w:rsid w:val="0029506B"/>
    <w:rsid w:val="00295141"/>
    <w:rsid w:val="002961CD"/>
    <w:rsid w:val="002965A7"/>
    <w:rsid w:val="00296A87"/>
    <w:rsid w:val="00297F39"/>
    <w:rsid w:val="002A08FA"/>
    <w:rsid w:val="002A42D2"/>
    <w:rsid w:val="002A5431"/>
    <w:rsid w:val="002A60FD"/>
    <w:rsid w:val="002A6933"/>
    <w:rsid w:val="002A70B6"/>
    <w:rsid w:val="002B119D"/>
    <w:rsid w:val="002B16AE"/>
    <w:rsid w:val="002B2D88"/>
    <w:rsid w:val="002B3C9C"/>
    <w:rsid w:val="002B434D"/>
    <w:rsid w:val="002B4F2B"/>
    <w:rsid w:val="002B5026"/>
    <w:rsid w:val="002B6BCC"/>
    <w:rsid w:val="002B7FAA"/>
    <w:rsid w:val="002C0887"/>
    <w:rsid w:val="002C14D7"/>
    <w:rsid w:val="002C1E4C"/>
    <w:rsid w:val="002C2618"/>
    <w:rsid w:val="002C316F"/>
    <w:rsid w:val="002C4780"/>
    <w:rsid w:val="002C7734"/>
    <w:rsid w:val="002C77FC"/>
    <w:rsid w:val="002C78FC"/>
    <w:rsid w:val="002D7336"/>
    <w:rsid w:val="002E139B"/>
    <w:rsid w:val="002E21F4"/>
    <w:rsid w:val="002E2A4D"/>
    <w:rsid w:val="002E3C3B"/>
    <w:rsid w:val="002E6FDE"/>
    <w:rsid w:val="002F1A13"/>
    <w:rsid w:val="002F1F26"/>
    <w:rsid w:val="002F2525"/>
    <w:rsid w:val="002F3383"/>
    <w:rsid w:val="002F7AF0"/>
    <w:rsid w:val="00300DED"/>
    <w:rsid w:val="003013A8"/>
    <w:rsid w:val="00302E1F"/>
    <w:rsid w:val="00305BCB"/>
    <w:rsid w:val="00306053"/>
    <w:rsid w:val="003106D3"/>
    <w:rsid w:val="00314155"/>
    <w:rsid w:val="00317806"/>
    <w:rsid w:val="003212E5"/>
    <w:rsid w:val="00321FEF"/>
    <w:rsid w:val="003249E1"/>
    <w:rsid w:val="00325B7F"/>
    <w:rsid w:val="0032792F"/>
    <w:rsid w:val="003306C5"/>
    <w:rsid w:val="00330A0C"/>
    <w:rsid w:val="00330BAC"/>
    <w:rsid w:val="0033226C"/>
    <w:rsid w:val="00332AAE"/>
    <w:rsid w:val="00333589"/>
    <w:rsid w:val="00333D38"/>
    <w:rsid w:val="00333F1E"/>
    <w:rsid w:val="0033528C"/>
    <w:rsid w:val="0033568D"/>
    <w:rsid w:val="00335B43"/>
    <w:rsid w:val="003360CA"/>
    <w:rsid w:val="003370CA"/>
    <w:rsid w:val="00343A63"/>
    <w:rsid w:val="00344B89"/>
    <w:rsid w:val="00345067"/>
    <w:rsid w:val="0034533F"/>
    <w:rsid w:val="00345A77"/>
    <w:rsid w:val="0034639B"/>
    <w:rsid w:val="003465C3"/>
    <w:rsid w:val="00350362"/>
    <w:rsid w:val="003510BC"/>
    <w:rsid w:val="00353479"/>
    <w:rsid w:val="00354C73"/>
    <w:rsid w:val="00355867"/>
    <w:rsid w:val="003569E0"/>
    <w:rsid w:val="00357E11"/>
    <w:rsid w:val="00360991"/>
    <w:rsid w:val="00361273"/>
    <w:rsid w:val="0036151D"/>
    <w:rsid w:val="00361757"/>
    <w:rsid w:val="003643A3"/>
    <w:rsid w:val="00370066"/>
    <w:rsid w:val="0037014A"/>
    <w:rsid w:val="00370357"/>
    <w:rsid w:val="00370AAB"/>
    <w:rsid w:val="00371E79"/>
    <w:rsid w:val="003727EF"/>
    <w:rsid w:val="00372ACC"/>
    <w:rsid w:val="00372E42"/>
    <w:rsid w:val="00373B70"/>
    <w:rsid w:val="00373E69"/>
    <w:rsid w:val="00374017"/>
    <w:rsid w:val="00374186"/>
    <w:rsid w:val="00375493"/>
    <w:rsid w:val="00375A0B"/>
    <w:rsid w:val="003768C3"/>
    <w:rsid w:val="00377348"/>
    <w:rsid w:val="003809E5"/>
    <w:rsid w:val="00380E61"/>
    <w:rsid w:val="00381817"/>
    <w:rsid w:val="00383324"/>
    <w:rsid w:val="003838E4"/>
    <w:rsid w:val="003845C0"/>
    <w:rsid w:val="00384662"/>
    <w:rsid w:val="0038490A"/>
    <w:rsid w:val="00385AF5"/>
    <w:rsid w:val="003866CD"/>
    <w:rsid w:val="003902AC"/>
    <w:rsid w:val="00390F8E"/>
    <w:rsid w:val="00392FC2"/>
    <w:rsid w:val="00394E8D"/>
    <w:rsid w:val="00395354"/>
    <w:rsid w:val="00395AB5"/>
    <w:rsid w:val="003963B5"/>
    <w:rsid w:val="00396927"/>
    <w:rsid w:val="00396E5C"/>
    <w:rsid w:val="00396F8D"/>
    <w:rsid w:val="00397D17"/>
    <w:rsid w:val="003A28EA"/>
    <w:rsid w:val="003A41E2"/>
    <w:rsid w:val="003A5FFA"/>
    <w:rsid w:val="003A669C"/>
    <w:rsid w:val="003A7828"/>
    <w:rsid w:val="003B082A"/>
    <w:rsid w:val="003B08E1"/>
    <w:rsid w:val="003B0C46"/>
    <w:rsid w:val="003B29FE"/>
    <w:rsid w:val="003B3715"/>
    <w:rsid w:val="003B390B"/>
    <w:rsid w:val="003B4683"/>
    <w:rsid w:val="003B4D2C"/>
    <w:rsid w:val="003B54D4"/>
    <w:rsid w:val="003C0C78"/>
    <w:rsid w:val="003C20F9"/>
    <w:rsid w:val="003C4204"/>
    <w:rsid w:val="003C7D42"/>
    <w:rsid w:val="003D2A15"/>
    <w:rsid w:val="003D49E7"/>
    <w:rsid w:val="003D5FC1"/>
    <w:rsid w:val="003D7D66"/>
    <w:rsid w:val="003E047E"/>
    <w:rsid w:val="003E064F"/>
    <w:rsid w:val="003E097F"/>
    <w:rsid w:val="003E593E"/>
    <w:rsid w:val="003E5991"/>
    <w:rsid w:val="003E5B3E"/>
    <w:rsid w:val="003E7809"/>
    <w:rsid w:val="003F0279"/>
    <w:rsid w:val="003F0507"/>
    <w:rsid w:val="003F0BCB"/>
    <w:rsid w:val="003F140E"/>
    <w:rsid w:val="003F2873"/>
    <w:rsid w:val="003F3EF2"/>
    <w:rsid w:val="003F4061"/>
    <w:rsid w:val="003F46E0"/>
    <w:rsid w:val="003F4C69"/>
    <w:rsid w:val="003F5EE8"/>
    <w:rsid w:val="003F6E7A"/>
    <w:rsid w:val="003F7430"/>
    <w:rsid w:val="00402409"/>
    <w:rsid w:val="00402CC0"/>
    <w:rsid w:val="0040381E"/>
    <w:rsid w:val="00403EF6"/>
    <w:rsid w:val="0040413C"/>
    <w:rsid w:val="00404784"/>
    <w:rsid w:val="004079B4"/>
    <w:rsid w:val="00407B29"/>
    <w:rsid w:val="00417C41"/>
    <w:rsid w:val="00417F7B"/>
    <w:rsid w:val="004205FF"/>
    <w:rsid w:val="0042103D"/>
    <w:rsid w:val="00423348"/>
    <w:rsid w:val="00424795"/>
    <w:rsid w:val="00425DE3"/>
    <w:rsid w:val="00426666"/>
    <w:rsid w:val="00430227"/>
    <w:rsid w:val="00430C00"/>
    <w:rsid w:val="00431223"/>
    <w:rsid w:val="00433823"/>
    <w:rsid w:val="00433D50"/>
    <w:rsid w:val="004365D1"/>
    <w:rsid w:val="00436AC5"/>
    <w:rsid w:val="004379C5"/>
    <w:rsid w:val="0044311E"/>
    <w:rsid w:val="00446C07"/>
    <w:rsid w:val="00447CE1"/>
    <w:rsid w:val="00447E7F"/>
    <w:rsid w:val="004521BB"/>
    <w:rsid w:val="0045445E"/>
    <w:rsid w:val="0045579B"/>
    <w:rsid w:val="00457318"/>
    <w:rsid w:val="0046527D"/>
    <w:rsid w:val="00466C40"/>
    <w:rsid w:val="004701C2"/>
    <w:rsid w:val="00470CD2"/>
    <w:rsid w:val="00475286"/>
    <w:rsid w:val="004775C7"/>
    <w:rsid w:val="00480E84"/>
    <w:rsid w:val="00481146"/>
    <w:rsid w:val="004818D2"/>
    <w:rsid w:val="00482A59"/>
    <w:rsid w:val="004834F9"/>
    <w:rsid w:val="00491428"/>
    <w:rsid w:val="0049176F"/>
    <w:rsid w:val="0049334F"/>
    <w:rsid w:val="004939EB"/>
    <w:rsid w:val="00494204"/>
    <w:rsid w:val="00495004"/>
    <w:rsid w:val="0049702B"/>
    <w:rsid w:val="00497258"/>
    <w:rsid w:val="004A1221"/>
    <w:rsid w:val="004A2454"/>
    <w:rsid w:val="004A6088"/>
    <w:rsid w:val="004A6360"/>
    <w:rsid w:val="004A652D"/>
    <w:rsid w:val="004A6C19"/>
    <w:rsid w:val="004A7056"/>
    <w:rsid w:val="004A79CC"/>
    <w:rsid w:val="004B1A78"/>
    <w:rsid w:val="004C0C93"/>
    <w:rsid w:val="004C1D8E"/>
    <w:rsid w:val="004C5899"/>
    <w:rsid w:val="004C60EF"/>
    <w:rsid w:val="004C6359"/>
    <w:rsid w:val="004D28DE"/>
    <w:rsid w:val="004D2A19"/>
    <w:rsid w:val="004D3BC2"/>
    <w:rsid w:val="004D4167"/>
    <w:rsid w:val="004D4DA2"/>
    <w:rsid w:val="004E0E50"/>
    <w:rsid w:val="004E1411"/>
    <w:rsid w:val="004E4EE6"/>
    <w:rsid w:val="004E5ADE"/>
    <w:rsid w:val="004E7D60"/>
    <w:rsid w:val="004F2B51"/>
    <w:rsid w:val="004F2C55"/>
    <w:rsid w:val="004F305B"/>
    <w:rsid w:val="004F5C5D"/>
    <w:rsid w:val="004F6429"/>
    <w:rsid w:val="00500433"/>
    <w:rsid w:val="00500A65"/>
    <w:rsid w:val="005032D1"/>
    <w:rsid w:val="00503642"/>
    <w:rsid w:val="00504AF6"/>
    <w:rsid w:val="00506C2C"/>
    <w:rsid w:val="00506E8F"/>
    <w:rsid w:val="00507A60"/>
    <w:rsid w:val="00510AFB"/>
    <w:rsid w:val="00511A19"/>
    <w:rsid w:val="00512566"/>
    <w:rsid w:val="00512990"/>
    <w:rsid w:val="00513AAE"/>
    <w:rsid w:val="005142FB"/>
    <w:rsid w:val="00520A9E"/>
    <w:rsid w:val="00521D02"/>
    <w:rsid w:val="005222AA"/>
    <w:rsid w:val="00525C6F"/>
    <w:rsid w:val="00531A6E"/>
    <w:rsid w:val="00534A2C"/>
    <w:rsid w:val="00534F69"/>
    <w:rsid w:val="00536A15"/>
    <w:rsid w:val="00536B26"/>
    <w:rsid w:val="00537EA4"/>
    <w:rsid w:val="00541204"/>
    <w:rsid w:val="00542B07"/>
    <w:rsid w:val="00547542"/>
    <w:rsid w:val="005508AC"/>
    <w:rsid w:val="00553F20"/>
    <w:rsid w:val="00555147"/>
    <w:rsid w:val="00556289"/>
    <w:rsid w:val="00560317"/>
    <w:rsid w:val="00560E3F"/>
    <w:rsid w:val="00561FB2"/>
    <w:rsid w:val="005627EA"/>
    <w:rsid w:val="005666D3"/>
    <w:rsid w:val="00572CD6"/>
    <w:rsid w:val="00572CF7"/>
    <w:rsid w:val="0057622C"/>
    <w:rsid w:val="00577F8A"/>
    <w:rsid w:val="00580DAA"/>
    <w:rsid w:val="0058530D"/>
    <w:rsid w:val="00590846"/>
    <w:rsid w:val="00592DB1"/>
    <w:rsid w:val="005936C9"/>
    <w:rsid w:val="00593C15"/>
    <w:rsid w:val="005940B4"/>
    <w:rsid w:val="00597CE4"/>
    <w:rsid w:val="005A1BB0"/>
    <w:rsid w:val="005A53EB"/>
    <w:rsid w:val="005A6310"/>
    <w:rsid w:val="005A6336"/>
    <w:rsid w:val="005B1946"/>
    <w:rsid w:val="005B3558"/>
    <w:rsid w:val="005B3CEA"/>
    <w:rsid w:val="005B5630"/>
    <w:rsid w:val="005B5C84"/>
    <w:rsid w:val="005B6326"/>
    <w:rsid w:val="005C3C1F"/>
    <w:rsid w:val="005C4062"/>
    <w:rsid w:val="005C473C"/>
    <w:rsid w:val="005C539A"/>
    <w:rsid w:val="005C69A8"/>
    <w:rsid w:val="005C6F5B"/>
    <w:rsid w:val="005D100F"/>
    <w:rsid w:val="005D2EEA"/>
    <w:rsid w:val="005D6BB7"/>
    <w:rsid w:val="005E2908"/>
    <w:rsid w:val="005E38FF"/>
    <w:rsid w:val="005E43A4"/>
    <w:rsid w:val="005E6B8E"/>
    <w:rsid w:val="005E70E1"/>
    <w:rsid w:val="005F035A"/>
    <w:rsid w:val="005F1153"/>
    <w:rsid w:val="005F1E68"/>
    <w:rsid w:val="005F3818"/>
    <w:rsid w:val="005F38B5"/>
    <w:rsid w:val="005F4AC6"/>
    <w:rsid w:val="005F74C6"/>
    <w:rsid w:val="005F7819"/>
    <w:rsid w:val="00600321"/>
    <w:rsid w:val="0060077C"/>
    <w:rsid w:val="00601C66"/>
    <w:rsid w:val="006027BD"/>
    <w:rsid w:val="0060345D"/>
    <w:rsid w:val="00604E9D"/>
    <w:rsid w:val="006053C1"/>
    <w:rsid w:val="006058D7"/>
    <w:rsid w:val="00610E8F"/>
    <w:rsid w:val="00617046"/>
    <w:rsid w:val="0062022B"/>
    <w:rsid w:val="0062374A"/>
    <w:rsid w:val="0062451D"/>
    <w:rsid w:val="006248B0"/>
    <w:rsid w:val="00625812"/>
    <w:rsid w:val="00626545"/>
    <w:rsid w:val="00630189"/>
    <w:rsid w:val="0063133A"/>
    <w:rsid w:val="006316D4"/>
    <w:rsid w:val="00632182"/>
    <w:rsid w:val="00632E54"/>
    <w:rsid w:val="00633551"/>
    <w:rsid w:val="006339F5"/>
    <w:rsid w:val="006346D1"/>
    <w:rsid w:val="006356A0"/>
    <w:rsid w:val="00636507"/>
    <w:rsid w:val="00640D85"/>
    <w:rsid w:val="00642FE1"/>
    <w:rsid w:val="00644D6B"/>
    <w:rsid w:val="00646D4D"/>
    <w:rsid w:val="00647882"/>
    <w:rsid w:val="00650A5A"/>
    <w:rsid w:val="00652EA4"/>
    <w:rsid w:val="006536DD"/>
    <w:rsid w:val="00653FF5"/>
    <w:rsid w:val="006542AE"/>
    <w:rsid w:val="006627E9"/>
    <w:rsid w:val="0066304C"/>
    <w:rsid w:val="00664A1C"/>
    <w:rsid w:val="0066537C"/>
    <w:rsid w:val="00665D7C"/>
    <w:rsid w:val="00666753"/>
    <w:rsid w:val="00667480"/>
    <w:rsid w:val="00667B63"/>
    <w:rsid w:val="00670AF4"/>
    <w:rsid w:val="006716D8"/>
    <w:rsid w:val="0067205A"/>
    <w:rsid w:val="00674CC0"/>
    <w:rsid w:val="00675AB0"/>
    <w:rsid w:val="0067602C"/>
    <w:rsid w:val="006778F1"/>
    <w:rsid w:val="006813ED"/>
    <w:rsid w:val="0068452C"/>
    <w:rsid w:val="00692065"/>
    <w:rsid w:val="00694182"/>
    <w:rsid w:val="006954DC"/>
    <w:rsid w:val="0069641F"/>
    <w:rsid w:val="006964AF"/>
    <w:rsid w:val="00696E9B"/>
    <w:rsid w:val="006A0557"/>
    <w:rsid w:val="006A35BE"/>
    <w:rsid w:val="006A3F71"/>
    <w:rsid w:val="006A51F3"/>
    <w:rsid w:val="006A533C"/>
    <w:rsid w:val="006B0DF4"/>
    <w:rsid w:val="006B0E1D"/>
    <w:rsid w:val="006B3B01"/>
    <w:rsid w:val="006B59A0"/>
    <w:rsid w:val="006B65FA"/>
    <w:rsid w:val="006B6DEB"/>
    <w:rsid w:val="006C01C5"/>
    <w:rsid w:val="006C0388"/>
    <w:rsid w:val="006C2C7C"/>
    <w:rsid w:val="006C3687"/>
    <w:rsid w:val="006C5AA8"/>
    <w:rsid w:val="006D2215"/>
    <w:rsid w:val="006D2535"/>
    <w:rsid w:val="006D2B51"/>
    <w:rsid w:val="006D4FA7"/>
    <w:rsid w:val="006D631D"/>
    <w:rsid w:val="006D67B4"/>
    <w:rsid w:val="006D7682"/>
    <w:rsid w:val="006E02CC"/>
    <w:rsid w:val="006E0634"/>
    <w:rsid w:val="006E1B3C"/>
    <w:rsid w:val="006E1B4A"/>
    <w:rsid w:val="006E29FF"/>
    <w:rsid w:val="006E549C"/>
    <w:rsid w:val="006E6235"/>
    <w:rsid w:val="006F0288"/>
    <w:rsid w:val="006F035E"/>
    <w:rsid w:val="006F1B01"/>
    <w:rsid w:val="006F6F0A"/>
    <w:rsid w:val="00700B18"/>
    <w:rsid w:val="00701A9E"/>
    <w:rsid w:val="00703DEE"/>
    <w:rsid w:val="00707A0D"/>
    <w:rsid w:val="00707B92"/>
    <w:rsid w:val="007112BA"/>
    <w:rsid w:val="00714D73"/>
    <w:rsid w:val="007150E3"/>
    <w:rsid w:val="00716D0F"/>
    <w:rsid w:val="00716FEE"/>
    <w:rsid w:val="007208BF"/>
    <w:rsid w:val="007210F0"/>
    <w:rsid w:val="00721E7D"/>
    <w:rsid w:val="0072553C"/>
    <w:rsid w:val="00730508"/>
    <w:rsid w:val="0073189F"/>
    <w:rsid w:val="007348F6"/>
    <w:rsid w:val="007359E9"/>
    <w:rsid w:val="00737D46"/>
    <w:rsid w:val="00741246"/>
    <w:rsid w:val="00741A49"/>
    <w:rsid w:val="00742909"/>
    <w:rsid w:val="00743A16"/>
    <w:rsid w:val="00745F1D"/>
    <w:rsid w:val="00746FDA"/>
    <w:rsid w:val="00746FEA"/>
    <w:rsid w:val="0074714C"/>
    <w:rsid w:val="0075051C"/>
    <w:rsid w:val="00751147"/>
    <w:rsid w:val="0075199D"/>
    <w:rsid w:val="007520AB"/>
    <w:rsid w:val="00752720"/>
    <w:rsid w:val="00753BA1"/>
    <w:rsid w:val="00755A34"/>
    <w:rsid w:val="00757891"/>
    <w:rsid w:val="00757BF4"/>
    <w:rsid w:val="00761806"/>
    <w:rsid w:val="007618E7"/>
    <w:rsid w:val="00761FD0"/>
    <w:rsid w:val="00762987"/>
    <w:rsid w:val="0076461A"/>
    <w:rsid w:val="00764FBD"/>
    <w:rsid w:val="00765A06"/>
    <w:rsid w:val="00765F0F"/>
    <w:rsid w:val="007709EE"/>
    <w:rsid w:val="00770BCC"/>
    <w:rsid w:val="00771D83"/>
    <w:rsid w:val="0077658C"/>
    <w:rsid w:val="0078067B"/>
    <w:rsid w:val="00781EEB"/>
    <w:rsid w:val="00785766"/>
    <w:rsid w:val="00786BBB"/>
    <w:rsid w:val="0078732D"/>
    <w:rsid w:val="00792217"/>
    <w:rsid w:val="0079298D"/>
    <w:rsid w:val="0079340A"/>
    <w:rsid w:val="00794085"/>
    <w:rsid w:val="0079753B"/>
    <w:rsid w:val="007A0186"/>
    <w:rsid w:val="007A0F06"/>
    <w:rsid w:val="007A2009"/>
    <w:rsid w:val="007A39A5"/>
    <w:rsid w:val="007A48E3"/>
    <w:rsid w:val="007A4F20"/>
    <w:rsid w:val="007A6EFF"/>
    <w:rsid w:val="007A745B"/>
    <w:rsid w:val="007B1B6A"/>
    <w:rsid w:val="007B2D63"/>
    <w:rsid w:val="007B39AC"/>
    <w:rsid w:val="007B3B6B"/>
    <w:rsid w:val="007B4CE1"/>
    <w:rsid w:val="007B4DAC"/>
    <w:rsid w:val="007B5295"/>
    <w:rsid w:val="007B6AF4"/>
    <w:rsid w:val="007C01B3"/>
    <w:rsid w:val="007C24A1"/>
    <w:rsid w:val="007C2CFE"/>
    <w:rsid w:val="007C5738"/>
    <w:rsid w:val="007C78E7"/>
    <w:rsid w:val="007D208D"/>
    <w:rsid w:val="007D362F"/>
    <w:rsid w:val="007D50CE"/>
    <w:rsid w:val="007D6E56"/>
    <w:rsid w:val="007E07E6"/>
    <w:rsid w:val="007E2A71"/>
    <w:rsid w:val="007E2C51"/>
    <w:rsid w:val="007E39F9"/>
    <w:rsid w:val="007E5B37"/>
    <w:rsid w:val="007F4843"/>
    <w:rsid w:val="007F5214"/>
    <w:rsid w:val="007F6533"/>
    <w:rsid w:val="007F7FC7"/>
    <w:rsid w:val="00800F87"/>
    <w:rsid w:val="00802796"/>
    <w:rsid w:val="00804C52"/>
    <w:rsid w:val="0080611C"/>
    <w:rsid w:val="008073D8"/>
    <w:rsid w:val="00810540"/>
    <w:rsid w:val="00811021"/>
    <w:rsid w:val="0081132F"/>
    <w:rsid w:val="00813B77"/>
    <w:rsid w:val="00814746"/>
    <w:rsid w:val="008162A6"/>
    <w:rsid w:val="00816317"/>
    <w:rsid w:val="00816535"/>
    <w:rsid w:val="00817CB8"/>
    <w:rsid w:val="00820056"/>
    <w:rsid w:val="00820724"/>
    <w:rsid w:val="00824740"/>
    <w:rsid w:val="008269F3"/>
    <w:rsid w:val="008302D0"/>
    <w:rsid w:val="00833280"/>
    <w:rsid w:val="00833ADE"/>
    <w:rsid w:val="00835701"/>
    <w:rsid w:val="00836799"/>
    <w:rsid w:val="00836FDA"/>
    <w:rsid w:val="00841D8D"/>
    <w:rsid w:val="00842D45"/>
    <w:rsid w:val="00842DF3"/>
    <w:rsid w:val="00843180"/>
    <w:rsid w:val="00852C33"/>
    <w:rsid w:val="00857396"/>
    <w:rsid w:val="00860A90"/>
    <w:rsid w:val="00864A43"/>
    <w:rsid w:val="00864BA7"/>
    <w:rsid w:val="00864E3E"/>
    <w:rsid w:val="00865250"/>
    <w:rsid w:val="008675BE"/>
    <w:rsid w:val="00870018"/>
    <w:rsid w:val="00870F15"/>
    <w:rsid w:val="0087158E"/>
    <w:rsid w:val="00871F44"/>
    <w:rsid w:val="008727D8"/>
    <w:rsid w:val="00872CDD"/>
    <w:rsid w:val="00874476"/>
    <w:rsid w:val="0087546F"/>
    <w:rsid w:val="0087595D"/>
    <w:rsid w:val="00875A3E"/>
    <w:rsid w:val="00876527"/>
    <w:rsid w:val="0087723F"/>
    <w:rsid w:val="00883D4C"/>
    <w:rsid w:val="00884E88"/>
    <w:rsid w:val="00885454"/>
    <w:rsid w:val="0088558D"/>
    <w:rsid w:val="00891160"/>
    <w:rsid w:val="008918CD"/>
    <w:rsid w:val="00893DB8"/>
    <w:rsid w:val="0089610F"/>
    <w:rsid w:val="0089616D"/>
    <w:rsid w:val="008961F3"/>
    <w:rsid w:val="00897F84"/>
    <w:rsid w:val="008A2368"/>
    <w:rsid w:val="008B2AB5"/>
    <w:rsid w:val="008B40CE"/>
    <w:rsid w:val="008B56D3"/>
    <w:rsid w:val="008B6136"/>
    <w:rsid w:val="008B6457"/>
    <w:rsid w:val="008B6498"/>
    <w:rsid w:val="008B725D"/>
    <w:rsid w:val="008B7A38"/>
    <w:rsid w:val="008B7AF5"/>
    <w:rsid w:val="008B7EA9"/>
    <w:rsid w:val="008C03B4"/>
    <w:rsid w:val="008C16AB"/>
    <w:rsid w:val="008C397C"/>
    <w:rsid w:val="008C3FD4"/>
    <w:rsid w:val="008C5D12"/>
    <w:rsid w:val="008C606B"/>
    <w:rsid w:val="008C61EA"/>
    <w:rsid w:val="008C74ED"/>
    <w:rsid w:val="008C7645"/>
    <w:rsid w:val="008D09F5"/>
    <w:rsid w:val="008D2FA9"/>
    <w:rsid w:val="008D3EBC"/>
    <w:rsid w:val="008D583A"/>
    <w:rsid w:val="008D6E49"/>
    <w:rsid w:val="008E1A87"/>
    <w:rsid w:val="008E2DAC"/>
    <w:rsid w:val="008E3A4D"/>
    <w:rsid w:val="008E5068"/>
    <w:rsid w:val="008E750F"/>
    <w:rsid w:val="008E7A85"/>
    <w:rsid w:val="008E7EFD"/>
    <w:rsid w:val="008F15D2"/>
    <w:rsid w:val="008F34EC"/>
    <w:rsid w:val="008F404B"/>
    <w:rsid w:val="008F4BCF"/>
    <w:rsid w:val="00902404"/>
    <w:rsid w:val="009024A4"/>
    <w:rsid w:val="009027D2"/>
    <w:rsid w:val="00903D28"/>
    <w:rsid w:val="009041FE"/>
    <w:rsid w:val="00907581"/>
    <w:rsid w:val="00910B8B"/>
    <w:rsid w:val="0091150D"/>
    <w:rsid w:val="00912697"/>
    <w:rsid w:val="00913913"/>
    <w:rsid w:val="00915435"/>
    <w:rsid w:val="00915C97"/>
    <w:rsid w:val="009165E9"/>
    <w:rsid w:val="00917ADC"/>
    <w:rsid w:val="00920E4A"/>
    <w:rsid w:val="0092182D"/>
    <w:rsid w:val="0092426E"/>
    <w:rsid w:val="00924FB5"/>
    <w:rsid w:val="00926462"/>
    <w:rsid w:val="0092659A"/>
    <w:rsid w:val="00934780"/>
    <w:rsid w:val="00934C80"/>
    <w:rsid w:val="009369DC"/>
    <w:rsid w:val="00940DDA"/>
    <w:rsid w:val="00941B32"/>
    <w:rsid w:val="00942E3D"/>
    <w:rsid w:val="00943BB2"/>
    <w:rsid w:val="009456B4"/>
    <w:rsid w:val="00947D2D"/>
    <w:rsid w:val="009500B4"/>
    <w:rsid w:val="0095059D"/>
    <w:rsid w:val="00951210"/>
    <w:rsid w:val="009517C3"/>
    <w:rsid w:val="00951DC2"/>
    <w:rsid w:val="0095260C"/>
    <w:rsid w:val="00956075"/>
    <w:rsid w:val="00956BD4"/>
    <w:rsid w:val="0095747E"/>
    <w:rsid w:val="00957BA8"/>
    <w:rsid w:val="00962778"/>
    <w:rsid w:val="0096284C"/>
    <w:rsid w:val="00962E46"/>
    <w:rsid w:val="009656AD"/>
    <w:rsid w:val="009661A3"/>
    <w:rsid w:val="00967DA6"/>
    <w:rsid w:val="00967E55"/>
    <w:rsid w:val="00972A5E"/>
    <w:rsid w:val="00973495"/>
    <w:rsid w:val="0097450D"/>
    <w:rsid w:val="00974764"/>
    <w:rsid w:val="0097503D"/>
    <w:rsid w:val="00975696"/>
    <w:rsid w:val="00975C03"/>
    <w:rsid w:val="0097623F"/>
    <w:rsid w:val="009766D5"/>
    <w:rsid w:val="0097729D"/>
    <w:rsid w:val="00980071"/>
    <w:rsid w:val="00980DA9"/>
    <w:rsid w:val="00982BBD"/>
    <w:rsid w:val="00982E30"/>
    <w:rsid w:val="009910DD"/>
    <w:rsid w:val="009917A8"/>
    <w:rsid w:val="00995E72"/>
    <w:rsid w:val="009973C0"/>
    <w:rsid w:val="009A1827"/>
    <w:rsid w:val="009A294B"/>
    <w:rsid w:val="009A2A35"/>
    <w:rsid w:val="009A35CA"/>
    <w:rsid w:val="009A5AF0"/>
    <w:rsid w:val="009B28FB"/>
    <w:rsid w:val="009B5CEF"/>
    <w:rsid w:val="009B7212"/>
    <w:rsid w:val="009C2623"/>
    <w:rsid w:val="009C6A9E"/>
    <w:rsid w:val="009C6BF7"/>
    <w:rsid w:val="009C729C"/>
    <w:rsid w:val="009D05B9"/>
    <w:rsid w:val="009D06BC"/>
    <w:rsid w:val="009D0CAF"/>
    <w:rsid w:val="009D2B14"/>
    <w:rsid w:val="009D35CC"/>
    <w:rsid w:val="009D438A"/>
    <w:rsid w:val="009D4B73"/>
    <w:rsid w:val="009D53FA"/>
    <w:rsid w:val="009D5538"/>
    <w:rsid w:val="009D5DCD"/>
    <w:rsid w:val="009D607A"/>
    <w:rsid w:val="009D6CA2"/>
    <w:rsid w:val="009D6F93"/>
    <w:rsid w:val="009D70F7"/>
    <w:rsid w:val="009D75C8"/>
    <w:rsid w:val="009D7941"/>
    <w:rsid w:val="009E0C8B"/>
    <w:rsid w:val="009E10B4"/>
    <w:rsid w:val="009E3DA4"/>
    <w:rsid w:val="009E5E35"/>
    <w:rsid w:val="009E63AF"/>
    <w:rsid w:val="009F15D3"/>
    <w:rsid w:val="009F2207"/>
    <w:rsid w:val="009F6C50"/>
    <w:rsid w:val="00A00865"/>
    <w:rsid w:val="00A02BDD"/>
    <w:rsid w:val="00A04002"/>
    <w:rsid w:val="00A04173"/>
    <w:rsid w:val="00A04F69"/>
    <w:rsid w:val="00A061A1"/>
    <w:rsid w:val="00A0767D"/>
    <w:rsid w:val="00A07F12"/>
    <w:rsid w:val="00A11612"/>
    <w:rsid w:val="00A11CEC"/>
    <w:rsid w:val="00A1215E"/>
    <w:rsid w:val="00A126D6"/>
    <w:rsid w:val="00A12961"/>
    <w:rsid w:val="00A12CE9"/>
    <w:rsid w:val="00A141C3"/>
    <w:rsid w:val="00A14A48"/>
    <w:rsid w:val="00A204E6"/>
    <w:rsid w:val="00A2067A"/>
    <w:rsid w:val="00A207E4"/>
    <w:rsid w:val="00A2153E"/>
    <w:rsid w:val="00A2302C"/>
    <w:rsid w:val="00A24E4D"/>
    <w:rsid w:val="00A27AEF"/>
    <w:rsid w:val="00A32BA9"/>
    <w:rsid w:val="00A32F73"/>
    <w:rsid w:val="00A35BC0"/>
    <w:rsid w:val="00A40006"/>
    <w:rsid w:val="00A44888"/>
    <w:rsid w:val="00A46476"/>
    <w:rsid w:val="00A465D3"/>
    <w:rsid w:val="00A47044"/>
    <w:rsid w:val="00A50ED5"/>
    <w:rsid w:val="00A52727"/>
    <w:rsid w:val="00A530C6"/>
    <w:rsid w:val="00A54FBC"/>
    <w:rsid w:val="00A55B39"/>
    <w:rsid w:val="00A606DF"/>
    <w:rsid w:val="00A6382E"/>
    <w:rsid w:val="00A6541B"/>
    <w:rsid w:val="00A6589E"/>
    <w:rsid w:val="00A65A1C"/>
    <w:rsid w:val="00A6615D"/>
    <w:rsid w:val="00A67DF7"/>
    <w:rsid w:val="00A72AF7"/>
    <w:rsid w:val="00A73479"/>
    <w:rsid w:val="00A74E26"/>
    <w:rsid w:val="00A805E7"/>
    <w:rsid w:val="00A8076E"/>
    <w:rsid w:val="00A81AF0"/>
    <w:rsid w:val="00A84252"/>
    <w:rsid w:val="00A846B8"/>
    <w:rsid w:val="00A84742"/>
    <w:rsid w:val="00A86A11"/>
    <w:rsid w:val="00A9211B"/>
    <w:rsid w:val="00A94B7E"/>
    <w:rsid w:val="00A95FB7"/>
    <w:rsid w:val="00AA023E"/>
    <w:rsid w:val="00AA026A"/>
    <w:rsid w:val="00AA0989"/>
    <w:rsid w:val="00AA266A"/>
    <w:rsid w:val="00AA38D7"/>
    <w:rsid w:val="00AA49E7"/>
    <w:rsid w:val="00AA5138"/>
    <w:rsid w:val="00AA5D49"/>
    <w:rsid w:val="00AA6153"/>
    <w:rsid w:val="00AA6C6E"/>
    <w:rsid w:val="00AA765A"/>
    <w:rsid w:val="00AA7EEA"/>
    <w:rsid w:val="00AB2F48"/>
    <w:rsid w:val="00AB4CB6"/>
    <w:rsid w:val="00AB52E1"/>
    <w:rsid w:val="00AB71D7"/>
    <w:rsid w:val="00AC02F9"/>
    <w:rsid w:val="00AC2198"/>
    <w:rsid w:val="00AC3191"/>
    <w:rsid w:val="00AC35F2"/>
    <w:rsid w:val="00AC51EE"/>
    <w:rsid w:val="00AC59B7"/>
    <w:rsid w:val="00AC6AA6"/>
    <w:rsid w:val="00AC726E"/>
    <w:rsid w:val="00AC7B1C"/>
    <w:rsid w:val="00AD1ED9"/>
    <w:rsid w:val="00AD4FE8"/>
    <w:rsid w:val="00AD6D00"/>
    <w:rsid w:val="00AD6FF1"/>
    <w:rsid w:val="00AD7EB4"/>
    <w:rsid w:val="00AE171A"/>
    <w:rsid w:val="00AE1759"/>
    <w:rsid w:val="00AE1D00"/>
    <w:rsid w:val="00AE25D7"/>
    <w:rsid w:val="00AE2E7E"/>
    <w:rsid w:val="00AE3024"/>
    <w:rsid w:val="00AE3DA7"/>
    <w:rsid w:val="00AE468D"/>
    <w:rsid w:val="00AE73C5"/>
    <w:rsid w:val="00AE79BE"/>
    <w:rsid w:val="00AE7E52"/>
    <w:rsid w:val="00AF0ABC"/>
    <w:rsid w:val="00AF15C2"/>
    <w:rsid w:val="00AF2485"/>
    <w:rsid w:val="00AF56B5"/>
    <w:rsid w:val="00AF6480"/>
    <w:rsid w:val="00AF795E"/>
    <w:rsid w:val="00B02335"/>
    <w:rsid w:val="00B025FF"/>
    <w:rsid w:val="00B03255"/>
    <w:rsid w:val="00B0550F"/>
    <w:rsid w:val="00B06B4C"/>
    <w:rsid w:val="00B076FA"/>
    <w:rsid w:val="00B10F27"/>
    <w:rsid w:val="00B110EB"/>
    <w:rsid w:val="00B11C8E"/>
    <w:rsid w:val="00B12B36"/>
    <w:rsid w:val="00B13A23"/>
    <w:rsid w:val="00B16504"/>
    <w:rsid w:val="00B17823"/>
    <w:rsid w:val="00B17A2E"/>
    <w:rsid w:val="00B21D36"/>
    <w:rsid w:val="00B23607"/>
    <w:rsid w:val="00B24226"/>
    <w:rsid w:val="00B25574"/>
    <w:rsid w:val="00B303B5"/>
    <w:rsid w:val="00B31415"/>
    <w:rsid w:val="00B31D5F"/>
    <w:rsid w:val="00B336F6"/>
    <w:rsid w:val="00B34158"/>
    <w:rsid w:val="00B342BB"/>
    <w:rsid w:val="00B360A0"/>
    <w:rsid w:val="00B40096"/>
    <w:rsid w:val="00B402D5"/>
    <w:rsid w:val="00B403AA"/>
    <w:rsid w:val="00B40AA2"/>
    <w:rsid w:val="00B410F8"/>
    <w:rsid w:val="00B4173A"/>
    <w:rsid w:val="00B4179A"/>
    <w:rsid w:val="00B42451"/>
    <w:rsid w:val="00B45C3F"/>
    <w:rsid w:val="00B463E7"/>
    <w:rsid w:val="00B4660B"/>
    <w:rsid w:val="00B475AC"/>
    <w:rsid w:val="00B52683"/>
    <w:rsid w:val="00B5510E"/>
    <w:rsid w:val="00B5618F"/>
    <w:rsid w:val="00B6200C"/>
    <w:rsid w:val="00B62D89"/>
    <w:rsid w:val="00B63729"/>
    <w:rsid w:val="00B64BFC"/>
    <w:rsid w:val="00B65B5B"/>
    <w:rsid w:val="00B70BEC"/>
    <w:rsid w:val="00B72B37"/>
    <w:rsid w:val="00B73030"/>
    <w:rsid w:val="00B801C7"/>
    <w:rsid w:val="00B856B8"/>
    <w:rsid w:val="00B85851"/>
    <w:rsid w:val="00B87B39"/>
    <w:rsid w:val="00B90C44"/>
    <w:rsid w:val="00B91961"/>
    <w:rsid w:val="00B96233"/>
    <w:rsid w:val="00B96358"/>
    <w:rsid w:val="00B96C91"/>
    <w:rsid w:val="00B96F1F"/>
    <w:rsid w:val="00B9755A"/>
    <w:rsid w:val="00BA6EDC"/>
    <w:rsid w:val="00BA7BF9"/>
    <w:rsid w:val="00BB23FE"/>
    <w:rsid w:val="00BB577D"/>
    <w:rsid w:val="00BB59A0"/>
    <w:rsid w:val="00BB6E49"/>
    <w:rsid w:val="00BB765C"/>
    <w:rsid w:val="00BB7E3E"/>
    <w:rsid w:val="00BC0612"/>
    <w:rsid w:val="00BC09B6"/>
    <w:rsid w:val="00BC0C0F"/>
    <w:rsid w:val="00BC24F2"/>
    <w:rsid w:val="00BC4EE7"/>
    <w:rsid w:val="00BC6BA0"/>
    <w:rsid w:val="00BC73BA"/>
    <w:rsid w:val="00BC7D09"/>
    <w:rsid w:val="00BC7E0A"/>
    <w:rsid w:val="00BD226F"/>
    <w:rsid w:val="00BD2463"/>
    <w:rsid w:val="00BD308D"/>
    <w:rsid w:val="00BD55F7"/>
    <w:rsid w:val="00BD5CF2"/>
    <w:rsid w:val="00BD600E"/>
    <w:rsid w:val="00BD6ECF"/>
    <w:rsid w:val="00BD7983"/>
    <w:rsid w:val="00BE11C6"/>
    <w:rsid w:val="00BE1725"/>
    <w:rsid w:val="00BE1A1A"/>
    <w:rsid w:val="00BE1C60"/>
    <w:rsid w:val="00BE3CAA"/>
    <w:rsid w:val="00BE3ED1"/>
    <w:rsid w:val="00BE5456"/>
    <w:rsid w:val="00BE6756"/>
    <w:rsid w:val="00BE6FC2"/>
    <w:rsid w:val="00BE7794"/>
    <w:rsid w:val="00BF119B"/>
    <w:rsid w:val="00BF1872"/>
    <w:rsid w:val="00BF2845"/>
    <w:rsid w:val="00BF3A97"/>
    <w:rsid w:val="00BF3B7E"/>
    <w:rsid w:val="00BF498E"/>
    <w:rsid w:val="00BF4E01"/>
    <w:rsid w:val="00BF65F4"/>
    <w:rsid w:val="00BF6DC2"/>
    <w:rsid w:val="00BF6E1E"/>
    <w:rsid w:val="00BF7D42"/>
    <w:rsid w:val="00C000A5"/>
    <w:rsid w:val="00C02813"/>
    <w:rsid w:val="00C033EB"/>
    <w:rsid w:val="00C04064"/>
    <w:rsid w:val="00C0433B"/>
    <w:rsid w:val="00C04D63"/>
    <w:rsid w:val="00C06671"/>
    <w:rsid w:val="00C07F85"/>
    <w:rsid w:val="00C110B7"/>
    <w:rsid w:val="00C150F7"/>
    <w:rsid w:val="00C16F60"/>
    <w:rsid w:val="00C2080B"/>
    <w:rsid w:val="00C21391"/>
    <w:rsid w:val="00C23E0F"/>
    <w:rsid w:val="00C30535"/>
    <w:rsid w:val="00C319A6"/>
    <w:rsid w:val="00C32D07"/>
    <w:rsid w:val="00C341EF"/>
    <w:rsid w:val="00C3466C"/>
    <w:rsid w:val="00C36625"/>
    <w:rsid w:val="00C37ADD"/>
    <w:rsid w:val="00C37B47"/>
    <w:rsid w:val="00C459AB"/>
    <w:rsid w:val="00C47520"/>
    <w:rsid w:val="00C477D6"/>
    <w:rsid w:val="00C47849"/>
    <w:rsid w:val="00C504E3"/>
    <w:rsid w:val="00C52403"/>
    <w:rsid w:val="00C54000"/>
    <w:rsid w:val="00C54663"/>
    <w:rsid w:val="00C55EB1"/>
    <w:rsid w:val="00C60882"/>
    <w:rsid w:val="00C612B2"/>
    <w:rsid w:val="00C620B7"/>
    <w:rsid w:val="00C630B0"/>
    <w:rsid w:val="00C6612C"/>
    <w:rsid w:val="00C70F4A"/>
    <w:rsid w:val="00C71657"/>
    <w:rsid w:val="00C80430"/>
    <w:rsid w:val="00C809B2"/>
    <w:rsid w:val="00C848C6"/>
    <w:rsid w:val="00C85992"/>
    <w:rsid w:val="00C86BC1"/>
    <w:rsid w:val="00C91503"/>
    <w:rsid w:val="00C96681"/>
    <w:rsid w:val="00C97331"/>
    <w:rsid w:val="00C974A1"/>
    <w:rsid w:val="00CA0E27"/>
    <w:rsid w:val="00CA12C2"/>
    <w:rsid w:val="00CA1FAB"/>
    <w:rsid w:val="00CA215E"/>
    <w:rsid w:val="00CA283B"/>
    <w:rsid w:val="00CB1688"/>
    <w:rsid w:val="00CB177A"/>
    <w:rsid w:val="00CB1867"/>
    <w:rsid w:val="00CB1E67"/>
    <w:rsid w:val="00CB2217"/>
    <w:rsid w:val="00CB2259"/>
    <w:rsid w:val="00CB46AA"/>
    <w:rsid w:val="00CC25F1"/>
    <w:rsid w:val="00CC48CA"/>
    <w:rsid w:val="00CD0048"/>
    <w:rsid w:val="00CD0DB9"/>
    <w:rsid w:val="00CD2BD4"/>
    <w:rsid w:val="00CD4B45"/>
    <w:rsid w:val="00CD75C6"/>
    <w:rsid w:val="00CE08D3"/>
    <w:rsid w:val="00CE0E22"/>
    <w:rsid w:val="00CE3CF4"/>
    <w:rsid w:val="00CE4E99"/>
    <w:rsid w:val="00CE6725"/>
    <w:rsid w:val="00CE68C8"/>
    <w:rsid w:val="00CE6DB0"/>
    <w:rsid w:val="00CE7546"/>
    <w:rsid w:val="00CF087D"/>
    <w:rsid w:val="00CF08F8"/>
    <w:rsid w:val="00CF33BF"/>
    <w:rsid w:val="00CF4854"/>
    <w:rsid w:val="00CF516E"/>
    <w:rsid w:val="00CF641E"/>
    <w:rsid w:val="00CF7EEA"/>
    <w:rsid w:val="00D000FC"/>
    <w:rsid w:val="00D0031D"/>
    <w:rsid w:val="00D004B0"/>
    <w:rsid w:val="00D017E8"/>
    <w:rsid w:val="00D0244D"/>
    <w:rsid w:val="00D04A50"/>
    <w:rsid w:val="00D1352F"/>
    <w:rsid w:val="00D16EB3"/>
    <w:rsid w:val="00D17F06"/>
    <w:rsid w:val="00D200DA"/>
    <w:rsid w:val="00D21EB8"/>
    <w:rsid w:val="00D234B4"/>
    <w:rsid w:val="00D24131"/>
    <w:rsid w:val="00D24610"/>
    <w:rsid w:val="00D271DD"/>
    <w:rsid w:val="00D318F8"/>
    <w:rsid w:val="00D326B6"/>
    <w:rsid w:val="00D328A9"/>
    <w:rsid w:val="00D329B0"/>
    <w:rsid w:val="00D32C7B"/>
    <w:rsid w:val="00D351A0"/>
    <w:rsid w:val="00D35766"/>
    <w:rsid w:val="00D3781E"/>
    <w:rsid w:val="00D37BA2"/>
    <w:rsid w:val="00D4249A"/>
    <w:rsid w:val="00D42627"/>
    <w:rsid w:val="00D45E09"/>
    <w:rsid w:val="00D46989"/>
    <w:rsid w:val="00D47ECA"/>
    <w:rsid w:val="00D47F67"/>
    <w:rsid w:val="00D503A5"/>
    <w:rsid w:val="00D510D6"/>
    <w:rsid w:val="00D52BC5"/>
    <w:rsid w:val="00D56240"/>
    <w:rsid w:val="00D56878"/>
    <w:rsid w:val="00D56AB2"/>
    <w:rsid w:val="00D56B14"/>
    <w:rsid w:val="00D575A1"/>
    <w:rsid w:val="00D57632"/>
    <w:rsid w:val="00D60D3A"/>
    <w:rsid w:val="00D627C3"/>
    <w:rsid w:val="00D640B6"/>
    <w:rsid w:val="00D65CF6"/>
    <w:rsid w:val="00D67DA2"/>
    <w:rsid w:val="00D7002F"/>
    <w:rsid w:val="00D72B8D"/>
    <w:rsid w:val="00D743DC"/>
    <w:rsid w:val="00D74800"/>
    <w:rsid w:val="00D7526F"/>
    <w:rsid w:val="00D75B5C"/>
    <w:rsid w:val="00D75C72"/>
    <w:rsid w:val="00D7640E"/>
    <w:rsid w:val="00D76F0F"/>
    <w:rsid w:val="00D8026D"/>
    <w:rsid w:val="00D80639"/>
    <w:rsid w:val="00D820F9"/>
    <w:rsid w:val="00D82C84"/>
    <w:rsid w:val="00D86462"/>
    <w:rsid w:val="00D902ED"/>
    <w:rsid w:val="00D90776"/>
    <w:rsid w:val="00D94442"/>
    <w:rsid w:val="00D944A0"/>
    <w:rsid w:val="00D94E79"/>
    <w:rsid w:val="00D970E3"/>
    <w:rsid w:val="00DA1BE6"/>
    <w:rsid w:val="00DA1E35"/>
    <w:rsid w:val="00DA2A68"/>
    <w:rsid w:val="00DA2D3F"/>
    <w:rsid w:val="00DA67E8"/>
    <w:rsid w:val="00DB12A8"/>
    <w:rsid w:val="00DB184F"/>
    <w:rsid w:val="00DB18E5"/>
    <w:rsid w:val="00DB3B51"/>
    <w:rsid w:val="00DB5578"/>
    <w:rsid w:val="00DB59C8"/>
    <w:rsid w:val="00DB6148"/>
    <w:rsid w:val="00DB7640"/>
    <w:rsid w:val="00DC0226"/>
    <w:rsid w:val="00DC1612"/>
    <w:rsid w:val="00DC25C1"/>
    <w:rsid w:val="00DC335D"/>
    <w:rsid w:val="00DC47C1"/>
    <w:rsid w:val="00DC66E6"/>
    <w:rsid w:val="00DC674C"/>
    <w:rsid w:val="00DC68E4"/>
    <w:rsid w:val="00DD0771"/>
    <w:rsid w:val="00DD320A"/>
    <w:rsid w:val="00DD333F"/>
    <w:rsid w:val="00DD5F50"/>
    <w:rsid w:val="00DD6ECC"/>
    <w:rsid w:val="00DD7A6C"/>
    <w:rsid w:val="00DE09FD"/>
    <w:rsid w:val="00DE1461"/>
    <w:rsid w:val="00DE32AC"/>
    <w:rsid w:val="00DE46A2"/>
    <w:rsid w:val="00DE5B46"/>
    <w:rsid w:val="00DE5DFE"/>
    <w:rsid w:val="00DE7464"/>
    <w:rsid w:val="00DE78E9"/>
    <w:rsid w:val="00DE7B5C"/>
    <w:rsid w:val="00DF02B8"/>
    <w:rsid w:val="00DF24D0"/>
    <w:rsid w:val="00DF2826"/>
    <w:rsid w:val="00DF54C2"/>
    <w:rsid w:val="00DF7B86"/>
    <w:rsid w:val="00E00347"/>
    <w:rsid w:val="00E00788"/>
    <w:rsid w:val="00E01C22"/>
    <w:rsid w:val="00E029D6"/>
    <w:rsid w:val="00E0463D"/>
    <w:rsid w:val="00E0722A"/>
    <w:rsid w:val="00E10823"/>
    <w:rsid w:val="00E11AD5"/>
    <w:rsid w:val="00E11C3A"/>
    <w:rsid w:val="00E13244"/>
    <w:rsid w:val="00E143DB"/>
    <w:rsid w:val="00E1543E"/>
    <w:rsid w:val="00E17742"/>
    <w:rsid w:val="00E2102E"/>
    <w:rsid w:val="00E220A1"/>
    <w:rsid w:val="00E2378F"/>
    <w:rsid w:val="00E254DE"/>
    <w:rsid w:val="00E320B8"/>
    <w:rsid w:val="00E35296"/>
    <w:rsid w:val="00E35AA9"/>
    <w:rsid w:val="00E35F77"/>
    <w:rsid w:val="00E36401"/>
    <w:rsid w:val="00E372B6"/>
    <w:rsid w:val="00E4092A"/>
    <w:rsid w:val="00E41325"/>
    <w:rsid w:val="00E42A06"/>
    <w:rsid w:val="00E46294"/>
    <w:rsid w:val="00E47216"/>
    <w:rsid w:val="00E51BEA"/>
    <w:rsid w:val="00E521CC"/>
    <w:rsid w:val="00E52CC3"/>
    <w:rsid w:val="00E54093"/>
    <w:rsid w:val="00E5521A"/>
    <w:rsid w:val="00E56823"/>
    <w:rsid w:val="00E57A66"/>
    <w:rsid w:val="00E57FEC"/>
    <w:rsid w:val="00E60727"/>
    <w:rsid w:val="00E61047"/>
    <w:rsid w:val="00E617E7"/>
    <w:rsid w:val="00E63360"/>
    <w:rsid w:val="00E64D8B"/>
    <w:rsid w:val="00E66A50"/>
    <w:rsid w:val="00E700B0"/>
    <w:rsid w:val="00E70F72"/>
    <w:rsid w:val="00E717D7"/>
    <w:rsid w:val="00E75715"/>
    <w:rsid w:val="00E7793F"/>
    <w:rsid w:val="00E817D3"/>
    <w:rsid w:val="00E8214D"/>
    <w:rsid w:val="00E825AE"/>
    <w:rsid w:val="00E82F30"/>
    <w:rsid w:val="00E830D3"/>
    <w:rsid w:val="00E844DC"/>
    <w:rsid w:val="00E8459D"/>
    <w:rsid w:val="00E847D9"/>
    <w:rsid w:val="00E85C2F"/>
    <w:rsid w:val="00E87099"/>
    <w:rsid w:val="00E87621"/>
    <w:rsid w:val="00E8783F"/>
    <w:rsid w:val="00E87AD6"/>
    <w:rsid w:val="00E9206B"/>
    <w:rsid w:val="00E921B6"/>
    <w:rsid w:val="00E93C76"/>
    <w:rsid w:val="00E93C77"/>
    <w:rsid w:val="00E95764"/>
    <w:rsid w:val="00E95DA5"/>
    <w:rsid w:val="00E95EAF"/>
    <w:rsid w:val="00E95ED3"/>
    <w:rsid w:val="00EA131D"/>
    <w:rsid w:val="00EA1C19"/>
    <w:rsid w:val="00EA1F81"/>
    <w:rsid w:val="00EA29CC"/>
    <w:rsid w:val="00EA2AE9"/>
    <w:rsid w:val="00EA3F3B"/>
    <w:rsid w:val="00EA5644"/>
    <w:rsid w:val="00EA6D6A"/>
    <w:rsid w:val="00EB07AC"/>
    <w:rsid w:val="00EB22EF"/>
    <w:rsid w:val="00EB2E7C"/>
    <w:rsid w:val="00EC09AA"/>
    <w:rsid w:val="00EC2466"/>
    <w:rsid w:val="00EC43DF"/>
    <w:rsid w:val="00EC5085"/>
    <w:rsid w:val="00EC6A48"/>
    <w:rsid w:val="00ED0512"/>
    <w:rsid w:val="00ED0E07"/>
    <w:rsid w:val="00ED1AE5"/>
    <w:rsid w:val="00ED410B"/>
    <w:rsid w:val="00ED41F5"/>
    <w:rsid w:val="00ED4369"/>
    <w:rsid w:val="00ED4401"/>
    <w:rsid w:val="00ED4814"/>
    <w:rsid w:val="00ED4EBF"/>
    <w:rsid w:val="00ED74A7"/>
    <w:rsid w:val="00EE00B4"/>
    <w:rsid w:val="00EE0635"/>
    <w:rsid w:val="00EE0823"/>
    <w:rsid w:val="00EE0E3F"/>
    <w:rsid w:val="00EE1FD2"/>
    <w:rsid w:val="00EE3BB9"/>
    <w:rsid w:val="00EE6FDA"/>
    <w:rsid w:val="00EE74B4"/>
    <w:rsid w:val="00EF36CA"/>
    <w:rsid w:val="00EF5740"/>
    <w:rsid w:val="00EF6EE4"/>
    <w:rsid w:val="00F04CB4"/>
    <w:rsid w:val="00F069B1"/>
    <w:rsid w:val="00F07FE6"/>
    <w:rsid w:val="00F10619"/>
    <w:rsid w:val="00F117DA"/>
    <w:rsid w:val="00F12328"/>
    <w:rsid w:val="00F15E63"/>
    <w:rsid w:val="00F220AB"/>
    <w:rsid w:val="00F25185"/>
    <w:rsid w:val="00F310DF"/>
    <w:rsid w:val="00F31663"/>
    <w:rsid w:val="00F34C84"/>
    <w:rsid w:val="00F36ED0"/>
    <w:rsid w:val="00F36FFB"/>
    <w:rsid w:val="00F40423"/>
    <w:rsid w:val="00F40570"/>
    <w:rsid w:val="00F408A9"/>
    <w:rsid w:val="00F42227"/>
    <w:rsid w:val="00F42D13"/>
    <w:rsid w:val="00F46D29"/>
    <w:rsid w:val="00F47040"/>
    <w:rsid w:val="00F502CF"/>
    <w:rsid w:val="00F522AB"/>
    <w:rsid w:val="00F52376"/>
    <w:rsid w:val="00F540D0"/>
    <w:rsid w:val="00F54D6A"/>
    <w:rsid w:val="00F557CF"/>
    <w:rsid w:val="00F56AE1"/>
    <w:rsid w:val="00F57772"/>
    <w:rsid w:val="00F62921"/>
    <w:rsid w:val="00F63C12"/>
    <w:rsid w:val="00F673E8"/>
    <w:rsid w:val="00F67BB4"/>
    <w:rsid w:val="00F67CB8"/>
    <w:rsid w:val="00F732C8"/>
    <w:rsid w:val="00F74053"/>
    <w:rsid w:val="00F7407A"/>
    <w:rsid w:val="00F77045"/>
    <w:rsid w:val="00F8136C"/>
    <w:rsid w:val="00F81997"/>
    <w:rsid w:val="00F83B13"/>
    <w:rsid w:val="00F83F93"/>
    <w:rsid w:val="00F84C9C"/>
    <w:rsid w:val="00F84FBE"/>
    <w:rsid w:val="00F86394"/>
    <w:rsid w:val="00F92AFB"/>
    <w:rsid w:val="00F92EFA"/>
    <w:rsid w:val="00F93513"/>
    <w:rsid w:val="00F94383"/>
    <w:rsid w:val="00F94DE6"/>
    <w:rsid w:val="00F967B5"/>
    <w:rsid w:val="00FA2364"/>
    <w:rsid w:val="00FA23E0"/>
    <w:rsid w:val="00FA32D9"/>
    <w:rsid w:val="00FA4DCC"/>
    <w:rsid w:val="00FA6EB4"/>
    <w:rsid w:val="00FB0A77"/>
    <w:rsid w:val="00FB44E2"/>
    <w:rsid w:val="00FB4F42"/>
    <w:rsid w:val="00FC1CB2"/>
    <w:rsid w:val="00FC39DB"/>
    <w:rsid w:val="00FC3C34"/>
    <w:rsid w:val="00FC3C4E"/>
    <w:rsid w:val="00FC3D32"/>
    <w:rsid w:val="00FC5E04"/>
    <w:rsid w:val="00FC6491"/>
    <w:rsid w:val="00FC6B51"/>
    <w:rsid w:val="00FC6C28"/>
    <w:rsid w:val="00FC6F2B"/>
    <w:rsid w:val="00FC7F7E"/>
    <w:rsid w:val="00FD0B4A"/>
    <w:rsid w:val="00FD1383"/>
    <w:rsid w:val="00FD1815"/>
    <w:rsid w:val="00FD374D"/>
    <w:rsid w:val="00FD3B5E"/>
    <w:rsid w:val="00FE0F7E"/>
    <w:rsid w:val="00FE3219"/>
    <w:rsid w:val="00FE4FB5"/>
    <w:rsid w:val="00FF1087"/>
    <w:rsid w:val="00FF1821"/>
    <w:rsid w:val="00FF3E21"/>
    <w:rsid w:val="00FF6E1E"/>
    <w:rsid w:val="00FF75A7"/>
    <w:rsid w:val="00FF7A61"/>
    <w:rsid w:val="017B2797"/>
    <w:rsid w:val="06A42273"/>
    <w:rsid w:val="0ADC2CF0"/>
    <w:rsid w:val="11753B2B"/>
    <w:rsid w:val="31386EEB"/>
    <w:rsid w:val="31BF16AC"/>
    <w:rsid w:val="48C46FC2"/>
    <w:rsid w:val="545817F4"/>
    <w:rsid w:val="59EE2E3F"/>
    <w:rsid w:val="5E9A5694"/>
    <w:rsid w:val="606F135B"/>
    <w:rsid w:val="62661203"/>
    <w:rsid w:val="6C4B5612"/>
    <w:rsid w:val="7EA7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alloon Text"/>
    <w:basedOn w:val="1"/>
    <w:link w:val="25"/>
    <w:semiHidden/>
    <w:unhideWhenUsed/>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7"/>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第五章 0"/>
    <w:basedOn w:val="1"/>
    <w:qFormat/>
    <w:uiPriority w:val="99"/>
    <w:pPr>
      <w:autoSpaceDE w:val="0"/>
      <w:autoSpaceDN w:val="0"/>
      <w:adjustRightInd w:val="0"/>
      <w:spacing w:before="238" w:after="238" w:line="241" w:lineRule="atLeast"/>
      <w:jc w:val="center"/>
      <w:textAlignment w:val="center"/>
    </w:pPr>
    <w:rPr>
      <w:rFonts w:ascii="方正兰亭黑_GBK" w:eastAsia="方正兰亭黑_GBK" w:cs="方正兰亭黑_GBK"/>
      <w:color w:val="000000"/>
      <w:kern w:val="0"/>
      <w:sz w:val="19"/>
      <w:szCs w:val="19"/>
      <w:lang w:val="zh-CN"/>
    </w:rPr>
  </w:style>
  <w:style w:type="paragraph" w:customStyle="1" w:styleId="16">
    <w:name w:val="正文0"/>
    <w:basedOn w:val="1"/>
    <w:qFormat/>
    <w:uiPriority w:val="99"/>
    <w:pPr>
      <w:autoSpaceDE w:val="0"/>
      <w:autoSpaceDN w:val="0"/>
      <w:adjustRightInd w:val="0"/>
      <w:spacing w:line="241" w:lineRule="atLeast"/>
      <w:ind w:firstLine="367"/>
      <w:textAlignment w:val="center"/>
    </w:pPr>
    <w:rPr>
      <w:rFonts w:ascii="方正书宋_GBK" w:eastAsia="方正书宋_GBK" w:cs="方正书宋_GBK"/>
      <w:color w:val="000000"/>
      <w:kern w:val="0"/>
      <w:sz w:val="18"/>
      <w:szCs w:val="18"/>
      <w:lang w:val="zh-CN"/>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rFonts w:ascii="Times New Roman" w:hAnsi="Times New Roman" w:eastAsia="宋体" w:cs="Times New Roman"/>
      <w:sz w:val="18"/>
      <w:szCs w:val="18"/>
    </w:rPr>
  </w:style>
  <w:style w:type="character" w:customStyle="1" w:styleId="19">
    <w:name w:val="黑体"/>
    <w:qFormat/>
    <w:uiPriority w:val="99"/>
    <w:rPr>
      <w:rFonts w:ascii="方正黑体简体" w:eastAsia="方正黑体简体" w:cs="方正黑体简体"/>
      <w:color w:val="000000"/>
    </w:rPr>
  </w:style>
  <w:style w:type="character" w:customStyle="1" w:styleId="20">
    <w:name w:val="标题 1 Char"/>
    <w:basedOn w:val="12"/>
    <w:link w:val="2"/>
    <w:qFormat/>
    <w:uiPriority w:val="9"/>
    <w:rPr>
      <w:b/>
      <w:bCs/>
      <w:kern w:val="44"/>
      <w:sz w:val="44"/>
      <w:szCs w:val="44"/>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标题 2 Char"/>
    <w:basedOn w:val="12"/>
    <w:link w:val="3"/>
    <w:qFormat/>
    <w:uiPriority w:val="9"/>
    <w:rPr>
      <w:rFonts w:asciiTheme="majorHAnsi" w:hAnsiTheme="majorHAnsi" w:eastAsiaTheme="majorEastAsia" w:cstheme="majorBidi"/>
      <w:b/>
      <w:bCs/>
      <w:sz w:val="32"/>
      <w:szCs w:val="32"/>
    </w:rPr>
  </w:style>
  <w:style w:type="paragraph" w:customStyle="1" w:styleId="23">
    <w:name w:val="0"/>
    <w:basedOn w:val="1"/>
    <w:qFormat/>
    <w:uiPriority w:val="0"/>
    <w:pPr>
      <w:widowControl/>
      <w:jc w:val="left"/>
    </w:pPr>
    <w:rPr>
      <w:rFonts w:ascii="宋体" w:hAnsi="宋体" w:eastAsia="宋体" w:cs="宋体"/>
      <w:kern w:val="0"/>
      <w:sz w:val="24"/>
      <w:szCs w:val="24"/>
    </w:rPr>
  </w:style>
  <w:style w:type="paragraph" w:styleId="24">
    <w:name w:val="List Paragraph"/>
    <w:basedOn w:val="1"/>
    <w:qFormat/>
    <w:uiPriority w:val="34"/>
    <w:pPr>
      <w:ind w:firstLine="420" w:firstLineChars="200"/>
    </w:pPr>
  </w:style>
  <w:style w:type="character" w:customStyle="1" w:styleId="25">
    <w:name w:val="批注框文本 Char"/>
    <w:basedOn w:val="12"/>
    <w:link w:val="5"/>
    <w:semiHidden/>
    <w:qFormat/>
    <w:uiPriority w:val="99"/>
    <w:rPr>
      <w:sz w:val="18"/>
      <w:szCs w:val="18"/>
    </w:rPr>
  </w:style>
  <w:style w:type="character" w:customStyle="1" w:styleId="26">
    <w:name w:val="批注文字 Char"/>
    <w:basedOn w:val="12"/>
    <w:link w:val="4"/>
    <w:semiHidden/>
    <w:qFormat/>
    <w:uiPriority w:val="99"/>
  </w:style>
  <w:style w:type="character" w:customStyle="1" w:styleId="27">
    <w:name w:val="批注主题 Char"/>
    <w:basedOn w:val="26"/>
    <w:link w:val="10"/>
    <w:semiHidden/>
    <w:qFormat/>
    <w:uiPriority w:val="99"/>
    <w:rPr>
      <w:b/>
      <w:bCs/>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列出段落7"/>
    <w:basedOn w:val="1"/>
    <w:qFormat/>
    <w:uiPriority w:val="0"/>
    <w:pPr>
      <w:ind w:firstLine="420" w:firstLineChars="200"/>
    </w:pPr>
    <w:rPr>
      <w:rFonts w:ascii="Calibri" w:hAnsi="Calibri" w:eastAsia="宋体" w:cs="Times New Roman"/>
    </w:rPr>
  </w:style>
  <w:style w:type="character" w:customStyle="1" w:styleId="30">
    <w:name w:val="fontstyle01"/>
    <w:basedOn w:val="12"/>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1357</Words>
  <Characters>7737</Characters>
  <Lines>64</Lines>
  <Paragraphs>18</Paragraphs>
  <TotalTime>28</TotalTime>
  <ScaleCrop>false</ScaleCrop>
  <LinksUpToDate>false</LinksUpToDate>
  <CharactersWithSpaces>9076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2021-10-30T09:59:00Z</cp:lastPrinted>
  <dcterms:created xsi:type="dcterms:W3CDTF">2021-10-30T11:35:00Z</dcterms:created>
  <dcterms:modified xsi:type="dcterms:W3CDTF">2022-09-15T15:40:01Z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