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华文中宋"/>
          <w:color w:val="000000"/>
          <w:sz w:val="44"/>
          <w:szCs w:val="44"/>
        </w:rPr>
      </w:pPr>
      <w:r>
        <w:rPr>
          <w:rFonts w:ascii="Times New Roman" w:hAnsi="Times New Roman" w:eastAsia="华文中宋"/>
          <w:color w:val="000000"/>
          <w:sz w:val="44"/>
          <w:szCs w:val="44"/>
        </w:rPr>
        <w:t>省本级支出政策和项目事前绩效评估报告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政  策 （项 目） 名 称：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办公经费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政策（项目）申请单位（盖章）：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哈尔滨市阿城区人民法院</w:t>
      </w:r>
    </w:p>
    <w:p>
      <w:pPr>
        <w:jc w:val="left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sz w:val="32"/>
          <w:szCs w:val="32"/>
        </w:rPr>
        <w:t>主  管  部  门 （盖 章）：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哈尔滨市阿城区人民法院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评   估   主   体 （盖  章）：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哈尔滨市阿城区人民法院</w:t>
      </w:r>
    </w:p>
    <w:p>
      <w:pPr>
        <w:jc w:val="left"/>
        <w:rPr>
          <w:rFonts w:hint="eastAsia" w:ascii="Times New Roman" w:hAnsi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政 策 （项 目） 负 责 人：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评      估      时      间：________________________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华文中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/>
          <w:sz w:val="44"/>
          <w:szCs w:val="44"/>
          <w:lang w:eastAsia="zh-CN"/>
        </w:rPr>
        <w:t>哈尔滨市阿城区人民法院</w:t>
      </w:r>
      <w:r>
        <w:rPr>
          <w:rFonts w:hint="eastAsia" w:ascii="Times New Roman" w:hAnsi="Times New Roman" w:eastAsia="华文中宋"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  <w:lang w:eastAsia="zh-CN"/>
        </w:rPr>
        <w:t>办公经费</w:t>
      </w:r>
      <w:r>
        <w:rPr>
          <w:rFonts w:ascii="Times New Roman" w:hAnsi="Times New Roman" w:eastAsia="华文中宋"/>
          <w:sz w:val="44"/>
          <w:szCs w:val="44"/>
        </w:rPr>
        <w:t>项目事前绩效评估报告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财政支出绩效评价从深化部门预算改革，加强预算绩效管理的实际需要出发，通过科学合理的方法，客观公正地评价财政资金使用的经济性、效率性和效益性，是强化部门预算支出责任、改善财政支出管理、优化资源配置以及提高公共服务水平的重要手段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黑龙江省省级项目支出部门评价和财政评价工作操作规范</w:t>
      </w:r>
      <w:r>
        <w:rPr>
          <w:rFonts w:hint="eastAsia" w:ascii="Times New Roman" w:hAnsi="Times New Roman" w:eastAsia="仿宋_GB2312"/>
          <w:sz w:val="32"/>
          <w:szCs w:val="32"/>
        </w:rPr>
        <w:t>》文件要求，我院开展了20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</w:t>
      </w:r>
      <w:r>
        <w:rPr>
          <w:rFonts w:hint="eastAsia" w:ascii="Times New Roman" w:hAnsi="Times New Roman" w:eastAsia="仿宋_GB2312"/>
          <w:sz w:val="32"/>
          <w:szCs w:val="32"/>
        </w:rPr>
        <w:t>经费项目的绩效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评估</w:t>
      </w:r>
      <w:r>
        <w:rPr>
          <w:rFonts w:hint="eastAsia" w:ascii="Times New Roman" w:hAnsi="Times New Roman" w:eastAsia="仿宋_GB2312"/>
          <w:sz w:val="32"/>
          <w:szCs w:val="32"/>
        </w:rPr>
        <w:t>工作，现报告如下：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一、项目基本情况。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（一）项目背景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为提高我院的经费保障水平，弥补法院系统办公经费不足，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保障审判工作有序进行，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阿城区财政局2021年度预算追加办公经费指标10万元，设立本项目。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项目主要内容概况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①.充分履行审判职能，倾力服务发展大局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　②.牢固树立宗旨意识，致力落实为民举措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③.稳步推进改革创新，着力提高司法效能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　④.攻坚破解执行难题，竭力维护胜诉权益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　⑤.切实加强自身建设，全力打造过硬队伍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　　⑥.主动接受各方监督，努力提升司法公信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二、事前绩效评估有关情况。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（一）评估程序。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1、确定评估对象。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2021年度办公经费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2、成立评估组织。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成立以区人民法院主要领导为组长的绩效评价工作组。</w:t>
      </w:r>
    </w:p>
    <w:p>
      <w:pPr>
        <w:numPr>
          <w:ilvl w:val="0"/>
          <w:numId w:val="2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制定评估方案。按照评估对象概况、评估依据和目的、评估组织和方法、评估内容与重点、必要的评估指标与标准、评估人员、评估时间及要求等制定评估方案。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评估方法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采用召开座谈会方式及对比分析法进行评估。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三、事前绩效评估内容及结论。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（一）立项必要性。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1.明确相关性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项目实施目的明确，内容具体。项目符合国家、市、区相关规划、政府决策、社会发展要求，与项目实施单位或委托单位职责密切相关。专项用于法院开展业务工作所必备的办公经费。</w:t>
      </w:r>
    </w:p>
    <w:p>
      <w:pPr>
        <w:numPr>
          <w:ilvl w:val="0"/>
          <w:numId w:val="0"/>
        </w:numPr>
        <w:ind w:left="6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2.必要可行性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我院的经费保障水平，弥补法院系统办公经费不足，保障审判工作有序进行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投入经济性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1.预算科学性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预算支出内容与部门职责相匹配；预算明细清晰明确。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2.经济合理性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预算遵循勤俭办事、量力而为的原则；预算测算依据充分，符合定额等支出标准。</w:t>
      </w:r>
    </w:p>
    <w:p>
      <w:pPr>
        <w:numPr>
          <w:ilvl w:val="0"/>
          <w:numId w:val="3"/>
        </w:numPr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绩效目标合理性。</w:t>
      </w:r>
    </w:p>
    <w:p>
      <w:pPr>
        <w:numPr>
          <w:ilvl w:val="0"/>
          <w:numId w:val="4"/>
        </w:numPr>
        <w:ind w:left="7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规范完整性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绩效目标填报格式规范、填报内容完整、准确、详实，无缺项、错项。绩效目标明确、内容具体，能反映项目的主要内容。</w:t>
      </w:r>
    </w:p>
    <w:p>
      <w:pPr>
        <w:numPr>
          <w:ilvl w:val="0"/>
          <w:numId w:val="4"/>
        </w:numPr>
        <w:ind w:left="740" w:leftChars="0" w:firstLine="0" w:firstLine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科学合理性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绩效指标从产出指标、效益指标、满意度指标进行细化及量化，便于监控和评价；难以量化的，定性描述充分、具体。切实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保障业务工作顺利开展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，预期绩效显著。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筹资合规性。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项目资金来源于区法院上缴款项，由阿城区财政局统一拨款，渠道合法合规。</w:t>
      </w:r>
    </w:p>
    <w:p>
      <w:pPr>
        <w:numPr>
          <w:ilvl w:val="0"/>
          <w:numId w:val="3"/>
        </w:numPr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实施可行性和可持续性。</w:t>
      </w:r>
    </w:p>
    <w:p>
      <w:pPr>
        <w:numPr>
          <w:ilvl w:val="0"/>
          <w:numId w:val="5"/>
        </w:numPr>
        <w:ind w:firstLine="640" w:firstLineChars="20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实现可能性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实施方案明确</w:t>
      </w:r>
      <w:r>
        <w:rPr>
          <w:rFonts w:hint="default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包括各项活动内容、范围、时间节点等</w:t>
      </w:r>
      <w:r>
        <w:rPr>
          <w:rFonts w:hint="default" w:ascii="Times New Roman" w:hAnsi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实施方案合理，经充分调查研究和论证</w:t>
      </w:r>
      <w:r>
        <w:rPr>
          <w:rFonts w:hint="default" w:ascii="Times New Roman" w:hAnsi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条件充分性</w:t>
      </w:r>
    </w:p>
    <w:p>
      <w:pPr>
        <w:numPr>
          <w:ilvl w:val="0"/>
          <w:numId w:val="0"/>
        </w:numPr>
        <w:ind w:left="740" w:leftChars="0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具备适用项目的完整、可操作的管理制度及经费保障。</w:t>
      </w:r>
    </w:p>
    <w:p>
      <w:pPr>
        <w:numPr>
          <w:ilvl w:val="0"/>
          <w:numId w:val="6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总体结论。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通过办案补助经费项目的实施提高了判案经费保障水平，改善了办案条件，提高了办案效率，</w:t>
      </w:r>
      <w:r>
        <w:rPr>
          <w:rFonts w:hint="eastAsia" w:ascii="Times New Roman" w:hAnsi="Times New Roman"/>
          <w:sz w:val="32"/>
          <w:szCs w:val="32"/>
          <w:lang w:eastAsia="zh-CN"/>
        </w:rPr>
        <w:t>同时也</w:t>
      </w:r>
      <w:r>
        <w:rPr>
          <w:rFonts w:hint="eastAsia" w:ascii="Times New Roman" w:hAnsi="Times New Roman" w:eastAsia="仿宋_GB2312"/>
          <w:sz w:val="32"/>
          <w:szCs w:val="32"/>
        </w:rPr>
        <w:t>提升了办案水平，让人民群众在每一个司法案件中能感受到公平正义，具有很大的可行性。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五、其他需要说明的事项和相关建议。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本次评估工作主要适用于今年，适用于今年相关的费用预算，预算是估计数，具体使用时也强能会有相应调整，最后以实际支出为准。</w:t>
      </w:r>
    </w:p>
    <w:p>
      <w:bookmarkStart w:id="0" w:name="End"/>
      <w:bookmarkEnd w:id="0"/>
    </w:p>
    <w:sectPr>
      <w:footerReference r:id="rId3" w:type="default"/>
      <w:footerReference r:id="rId4" w:type="even"/>
      <w:pgSz w:w="11906" w:h="16838"/>
      <w:pgMar w:top="2268" w:right="1418" w:bottom="1701" w:left="170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snapToGrid w:val="0"/>
      <w:ind w:right="320" w:rightChars="100"/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snapToGrid w:val="0"/>
      <w:ind w:right="320" w:rightChars="100"/>
      <w:rPr>
        <w:rFonts w:ascii="Times New Roman" w:hAnsi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1384D"/>
    <w:multiLevelType w:val="singleLevel"/>
    <w:tmpl w:val="955138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FDE43A"/>
    <w:multiLevelType w:val="singleLevel"/>
    <w:tmpl w:val="B3FDE43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C22EAC9D"/>
    <w:multiLevelType w:val="singleLevel"/>
    <w:tmpl w:val="C22EAC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675BDB5"/>
    <w:multiLevelType w:val="singleLevel"/>
    <w:tmpl w:val="C675BD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EF65816"/>
    <w:multiLevelType w:val="singleLevel"/>
    <w:tmpl w:val="5EF6581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68C278D"/>
    <w:multiLevelType w:val="singleLevel"/>
    <w:tmpl w:val="668C2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4569"/>
    <w:rsid w:val="0BCF5E7F"/>
    <w:rsid w:val="139D29DF"/>
    <w:rsid w:val="25B46B6B"/>
    <w:rsid w:val="265B11F2"/>
    <w:rsid w:val="30310634"/>
    <w:rsid w:val="381B5E03"/>
    <w:rsid w:val="3E854008"/>
    <w:rsid w:val="553A5774"/>
    <w:rsid w:val="763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2021-08-10T00:56:00Z</dcterms:created>
  <dc:creator>Administrator</dc:creator>
  <cp:lastModifiedBy>Administrator</cp:lastModifiedBy>
  <cp:lastPrinted>2021-08-19T02:00:37Z</cp:lastPrinted>
  <dcterms:modified xsi:type="dcterms:W3CDTF">2021-08-19T02:03:32Z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D2BC4930AC8C41C18B531BD2B3B66A2E</vt:lpwstr>
  </property>
</Properties>
</file>