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C0C67">
      <w:pPr>
        <w:keepNext w:val="0"/>
        <w:keepLines w:val="0"/>
        <w:widowControl/>
        <w:suppressLineNumbers w:val="0"/>
        <w:spacing w:before="300" w:beforeAutospacing="0" w:after="0" w:afterAutospacing="1" w:line="540" w:lineRule="atLeast"/>
        <w:ind w:left="0" w:right="0"/>
        <w:jc w:val="center"/>
      </w:pPr>
      <w:bookmarkStart w:id="0" w:name="_GoBack"/>
      <w:bookmarkEnd w:id="0"/>
      <w:r>
        <w:rPr>
          <w:rFonts w:ascii="方正小标宋简体" w:hAnsi="方正小标宋简体" w:eastAsia="方正小标宋简体" w:cs="方正小标宋简体"/>
          <w:i w:val="0"/>
          <w:iCs w:val="0"/>
          <w:caps w:val="0"/>
          <w:color w:val="1E1E1E"/>
          <w:spacing w:val="0"/>
          <w:kern w:val="0"/>
          <w:sz w:val="44"/>
          <w:szCs w:val="44"/>
          <w:shd w:val="clear" w:fill="FFFFFF"/>
          <w:lang w:val="en-US" w:eastAsia="zh-CN" w:bidi="ar"/>
        </w:rPr>
        <w:t>北塔区茶元头办公幼儿园建设项目</w:t>
      </w:r>
    </w:p>
    <w:p w14:paraId="4B36A2E6">
      <w:pPr>
        <w:keepNext w:val="0"/>
        <w:keepLines w:val="0"/>
        <w:widowControl/>
        <w:suppressLineNumbers w:val="0"/>
        <w:spacing w:before="300" w:beforeAutospacing="0" w:after="0" w:afterAutospacing="1" w:line="540" w:lineRule="atLeast"/>
        <w:ind w:left="0" w:right="0"/>
        <w:jc w:val="center"/>
      </w:pPr>
      <w:r>
        <w:rPr>
          <w:rFonts w:hint="default" w:ascii="方正小标宋简体" w:hAnsi="方正小标宋简体" w:eastAsia="方正小标宋简体" w:cs="方正小标宋简体"/>
          <w:i w:val="0"/>
          <w:iCs w:val="0"/>
          <w:caps w:val="0"/>
          <w:color w:val="1E1E1E"/>
          <w:spacing w:val="0"/>
          <w:kern w:val="0"/>
          <w:sz w:val="44"/>
          <w:szCs w:val="44"/>
          <w:shd w:val="clear" w:fill="FFFFFF"/>
          <w:lang w:val="en-US" w:eastAsia="zh-CN" w:bidi="ar"/>
        </w:rPr>
        <w:t>事前绩效评估报告</w:t>
      </w:r>
    </w:p>
    <w:p w14:paraId="10A6F5B4">
      <w:pPr>
        <w:keepNext w:val="0"/>
        <w:keepLines w:val="0"/>
        <w:widowControl/>
        <w:suppressLineNumbers w:val="0"/>
        <w:spacing w:before="300" w:beforeAutospacing="0" w:after="0" w:afterAutospacing="1" w:line="600" w:lineRule="atLeast"/>
        <w:ind w:left="0" w:right="0" w:firstLine="482"/>
        <w:jc w:val="left"/>
      </w:pPr>
      <w:r>
        <w:rPr>
          <w:rFonts w:hint="default" w:ascii="Times New Roman" w:hAnsi="Times New Roman" w:eastAsia="微软雅黑" w:cs="Times New Roman"/>
          <w:b w:val="0"/>
          <w:bCs w:val="0"/>
          <w:i w:val="0"/>
          <w:iCs w:val="0"/>
          <w:caps w:val="0"/>
          <w:color w:val="1E1E1E"/>
          <w:spacing w:val="0"/>
          <w:kern w:val="0"/>
          <w:sz w:val="32"/>
          <w:szCs w:val="32"/>
          <w:shd w:val="clear" w:fill="FFFFFF"/>
          <w:lang w:val="en-US" w:eastAsia="zh-CN" w:bidi="ar"/>
        </w:rPr>
        <w:t> </w:t>
      </w:r>
    </w:p>
    <w:p w14:paraId="24891DDF">
      <w:pPr>
        <w:keepNext w:val="0"/>
        <w:keepLines w:val="0"/>
        <w:widowControl/>
        <w:suppressLineNumbers w:val="0"/>
        <w:spacing w:before="300" w:beforeAutospacing="0" w:after="0" w:afterAutospacing="1" w:line="600" w:lineRule="atLeast"/>
        <w:ind w:left="0" w:right="0" w:firstLine="640"/>
        <w:jc w:val="left"/>
      </w:pPr>
      <w:r>
        <w:rPr>
          <w:rFonts w:ascii="黑体" w:hAnsi="宋体" w:eastAsia="黑体" w:cs="黑体"/>
          <w:b w:val="0"/>
          <w:bCs w:val="0"/>
          <w:i w:val="0"/>
          <w:iCs w:val="0"/>
          <w:caps w:val="0"/>
          <w:color w:val="1E1E1E"/>
          <w:spacing w:val="0"/>
          <w:kern w:val="0"/>
          <w:sz w:val="32"/>
          <w:szCs w:val="32"/>
          <w:shd w:val="clear" w:fill="FFFFFF"/>
          <w:lang w:val="en-US" w:eastAsia="zh-CN" w:bidi="ar"/>
        </w:rPr>
        <w:t>一、评估对象</w:t>
      </w:r>
    </w:p>
    <w:p w14:paraId="6302921A">
      <w:pPr>
        <w:keepNext w:val="0"/>
        <w:keepLines w:val="0"/>
        <w:widowControl/>
        <w:suppressLineNumbers w:val="0"/>
        <w:spacing w:before="300" w:beforeAutospacing="0" w:after="0" w:afterAutospacing="1" w:line="600" w:lineRule="atLeast"/>
        <w:ind w:left="0" w:right="0" w:firstLine="643"/>
        <w:jc w:val="left"/>
      </w:pPr>
      <w:r>
        <w:rPr>
          <w:rFonts w:ascii="楷体_GB2312" w:hAnsi="微软雅黑" w:eastAsia="楷体_GB2312" w:cs="楷体_GB2312"/>
          <w:b/>
          <w:bCs/>
          <w:i w:val="0"/>
          <w:iCs w:val="0"/>
          <w:caps w:val="0"/>
          <w:color w:val="1E1E1E"/>
          <w:spacing w:val="0"/>
          <w:kern w:val="0"/>
          <w:sz w:val="32"/>
          <w:szCs w:val="32"/>
          <w:shd w:val="clear" w:fill="FFFFFF"/>
          <w:lang w:val="en-US" w:eastAsia="zh-CN" w:bidi="ar"/>
        </w:rPr>
        <w:t>（一）项目名称</w:t>
      </w:r>
    </w:p>
    <w:p w14:paraId="1D11EE11">
      <w:pPr>
        <w:keepNext w:val="0"/>
        <w:keepLines w:val="0"/>
        <w:widowControl/>
        <w:suppressLineNumbers w:val="0"/>
        <w:spacing w:before="300" w:beforeAutospacing="0" w:after="0" w:afterAutospacing="1" w:line="600" w:lineRule="atLeast"/>
        <w:ind w:left="0" w:right="0" w:firstLine="640"/>
        <w:jc w:val="left"/>
      </w:pPr>
      <w:r>
        <w:rPr>
          <w:rFonts w:ascii="仿宋_GB2312" w:hAnsi="微软雅黑" w:eastAsia="仿宋_GB2312" w:cs="仿宋_GB2312"/>
          <w:i w:val="0"/>
          <w:iCs w:val="0"/>
          <w:caps w:val="0"/>
          <w:color w:val="1E1E1E"/>
          <w:spacing w:val="0"/>
          <w:kern w:val="0"/>
          <w:sz w:val="32"/>
          <w:szCs w:val="32"/>
          <w:shd w:val="clear" w:fill="FFFFFF"/>
          <w:lang w:val="en-US" w:eastAsia="zh-CN" w:bidi="ar"/>
        </w:rPr>
        <w:t>邵阳市北塔区茶元头办公幼儿园建设项目。</w:t>
      </w:r>
    </w:p>
    <w:p w14:paraId="09E144A3">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（二）项目绩效目标</w:t>
      </w:r>
    </w:p>
    <w:p w14:paraId="6F4EEE4F">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项目绩效目标主要是为：项目总投资</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万元。项目总建筑面积</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6,255.00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㎡，占地面积</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13.86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亩。共建设</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个班，新增学位</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360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w:t>
      </w:r>
    </w:p>
    <w:p w14:paraId="74FF99AC">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（三）项目资金构成</w:t>
      </w:r>
    </w:p>
    <w:p w14:paraId="62468FF0">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项目资金来源主要为财政资金及发行政府专项债券。项目总投资</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万元，其中：用于项目支出的财政资金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万元，拟申请发行政府专项债券资</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2,000.00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w:t>
      </w:r>
    </w:p>
    <w:p w14:paraId="3FC606BA">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（四）项目概况</w:t>
      </w:r>
    </w:p>
    <w:p w14:paraId="6FEE9AEC">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邵阳市北塔区茶元头办公幼儿园建设项目建设主体为邵阳市北塔区教育局，项目总投资：</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万元；建设地点：位于邵阳市北塔区茶元头街道茶元头中学对面；建设内容：本项目规划</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个教学班、</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360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个学位，总用地面积</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9,237.71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㎡（合</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13.86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亩），总建筑面积</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6,255.00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㎡，其中计容建筑面积</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4,320.00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㎡；地下不计容建筑面积</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1,935.00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㎡。建筑密度</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，容积率</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0.47</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，总机动车停车位</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个，配套建设内部道路、公用工程（包括供电、供水、供气）、环保卫生等相关设施；建设工期：建设工期为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个月，</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w:t>
      </w:r>
    </w:p>
    <w:p w14:paraId="0F66C71D">
      <w:pPr>
        <w:keepNext w:val="0"/>
        <w:keepLines w:val="0"/>
        <w:widowControl/>
        <w:suppressLineNumbers w:val="0"/>
        <w:spacing w:before="300" w:beforeAutospacing="0" w:after="0" w:afterAutospacing="1" w:line="600" w:lineRule="atLeast"/>
        <w:ind w:left="0" w:right="0" w:firstLine="640"/>
        <w:jc w:val="left"/>
      </w:pPr>
      <w:r>
        <w:rPr>
          <w:rFonts w:hint="eastAsia" w:ascii="黑体" w:hAnsi="宋体" w:eastAsia="黑体" w:cs="黑体"/>
          <w:b w:val="0"/>
          <w:bCs w:val="0"/>
          <w:i w:val="0"/>
          <w:iCs w:val="0"/>
          <w:caps w:val="0"/>
          <w:color w:val="1E1E1E"/>
          <w:spacing w:val="0"/>
          <w:kern w:val="0"/>
          <w:sz w:val="32"/>
          <w:szCs w:val="32"/>
          <w:shd w:val="clear" w:fill="FFFFFF"/>
          <w:lang w:val="en-US" w:eastAsia="zh-CN" w:bidi="ar"/>
        </w:rPr>
        <w:t>二、事前绩效评估的基本情况</w:t>
      </w:r>
    </w:p>
    <w:p w14:paraId="2B7EF978">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（一）评估程序</w:t>
      </w:r>
    </w:p>
    <w:p w14:paraId="7D9687B9">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本次事前绩效评估工作包括以下三个阶段：</w:t>
      </w:r>
    </w:p>
    <w:p w14:paraId="1E293F5D">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、评估准备阶段</w:t>
      </w:r>
    </w:p>
    <w:p w14:paraId="6EBAC1B4">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一是确定评估对象。</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我所与委托方沟通，明确了本次事前绩效评估对象为邵阳市北塔区教育局“邵阳市北塔区茶元头办公幼儿园建设项目”。</w:t>
      </w:r>
    </w:p>
    <w:p w14:paraId="18F2DC95">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二是成立事前绩效评估小组（以下简称“评估小组”）。</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结合评估对象及评估工作需求，评估机构专业人员成立评估小组，负责组织落实具体评估工作，确保绩效评估工作顺利实施。同时为保障本项目事前绩效评估工作的严谨、客观和公正，评估机构组织</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位相关领域的专家参与评估。</w:t>
      </w:r>
    </w:p>
    <w:p w14:paraId="530C1D41">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三是制定评估工作方案。</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依据事前绩效评估流程要求，评估小组拟定事前评估工作方案，明确评估对象、依据、内容、方法、时间安排和工作要求等事项。</w:t>
      </w:r>
    </w:p>
    <w:p w14:paraId="2B8F0317">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2</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、评估实施阶段</w:t>
      </w:r>
    </w:p>
    <w:p w14:paraId="0B76E741">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一是资料收集与审核。</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评估小组全面收集与被评估项目有关的数据和资料，对数据和资料进行整理、审核与分析，并通过咨询专业人士、集中座谈等方式，多渠道获取相关信息。</w:t>
      </w:r>
    </w:p>
    <w:p w14:paraId="2F087661">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二是现场评估。</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评估小组到现场采取询查、复核等方式，对项目有关情况进行调查、核实，对疑点问题进行询问，听取并记录申报单位对有关问题的解释和答复，形成工作底稿。</w:t>
      </w:r>
    </w:p>
    <w:p w14:paraId="224E8E7E">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三是综合评估。</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评估组选择合适的评估方法，对照评估方案内容、评估指标体系，对项目立项必要性、实施可行性、绩效目标合理性、投入经济性、可持续性等方面进行综合评估。</w:t>
      </w:r>
    </w:p>
    <w:p w14:paraId="2CF282FB">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3</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、评估报告阶段</w:t>
      </w:r>
    </w:p>
    <w:p w14:paraId="0C035BDE">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一是形成初步评估意见。</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评估小组通过对收集的资料和现场调研获得的信息进行综合分析，结合专家意见形成初步调研意见，在汇总分析、论证后，形成最终评估结论。</w:t>
      </w:r>
    </w:p>
    <w:p w14:paraId="2E394171">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二是撰写报告。</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评估小组根据最终评估意见，撰写事前绩效评估报告，整理事前绩效评估资料，一并报送委托方。</w:t>
      </w:r>
    </w:p>
    <w:p w14:paraId="32D96D52">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（二）评估思路</w:t>
      </w:r>
    </w:p>
    <w:p w14:paraId="42D047BD">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依据《湖南省财政厅关于印发湖南省省级预算事前绩效评估管理暂行办法的通知》（湘财绩〔</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8</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号）文，在全面了解项目实施内容的基础上，将本次事前绩效评估的资料及现场询查过程中发现的问题进行整理分析、汇总后，对是否立项、是否安排预算资金提出明确的意见和建议。</w:t>
      </w:r>
    </w:p>
    <w:p w14:paraId="4682ED12">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（三）评估方式、方法</w:t>
      </w:r>
    </w:p>
    <w:p w14:paraId="786C27B5">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此次绩效评估方式主要是通过现场调研、座谈交流获取相关政策和项目的真实情况，通过问卷调查获取利益相关方对项目实施的持续性、必要性征询意见；主要工作方法有比较法、因素分析法，通过对比绩效目标与预算实施效果，分析项目情况对项目进行评估。</w:t>
      </w:r>
    </w:p>
    <w:p w14:paraId="035CCE41">
      <w:pPr>
        <w:keepNext w:val="0"/>
        <w:keepLines w:val="0"/>
        <w:widowControl/>
        <w:suppressLineNumbers w:val="0"/>
        <w:spacing w:before="300" w:beforeAutospacing="0" w:after="0" w:afterAutospacing="1" w:line="600" w:lineRule="atLeast"/>
        <w:ind w:left="0" w:right="0" w:firstLine="640"/>
        <w:jc w:val="left"/>
      </w:pPr>
      <w:r>
        <w:rPr>
          <w:rFonts w:hint="eastAsia" w:ascii="黑体" w:hAnsi="宋体" w:eastAsia="黑体" w:cs="黑体"/>
          <w:b w:val="0"/>
          <w:bCs w:val="0"/>
          <w:i w:val="0"/>
          <w:iCs w:val="0"/>
          <w:caps w:val="0"/>
          <w:color w:val="1E1E1E"/>
          <w:spacing w:val="0"/>
          <w:kern w:val="0"/>
          <w:sz w:val="32"/>
          <w:szCs w:val="32"/>
          <w:shd w:val="clear" w:fill="FFFFFF"/>
          <w:lang w:val="en-US" w:eastAsia="zh-CN" w:bidi="ar"/>
        </w:rPr>
        <w:t>三、评估内容与结论</w:t>
      </w:r>
    </w:p>
    <w:p w14:paraId="56CF06C9">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（一）立项必要性</w:t>
      </w:r>
    </w:p>
    <w:p w14:paraId="28FD6A65">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教育局申报的邵阳市北塔区茶元头办公幼儿园建设项目符合省委、省政府、市委、市政府、区委、区政府教育工作部署，符合单位的职能职责，有明确的受益对象，立项依据充分且必要。其立项依据具体如下：</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湖南省人民政府办公厅关于印发《湖南省“十四五”教育事业发展规划》的通知（湘政办发〔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邵阳市人民政府办公室关于印发《邵阳市“十四五”教育事业发展规划》的通知（邵市政办发〔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30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三是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《北塔区“十四五”发展规划教育专项（</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p>
    <w:p w14:paraId="5D92F486">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（二）绩效目标合理性</w:t>
      </w:r>
    </w:p>
    <w:p w14:paraId="51E9E6EE">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邵阳市北塔区教育局的“邵阳市北塔区茶元头办公幼儿园建设项目”除“</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存在部分指标设置欠缺合理性，如：①生态效益指标设置为“改善生活环境”、指标值为“改善适龄儿童学习条件”；②满意度指标设为“公众社会满意度≥</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95%</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”、绩效标准为“≥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50%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项目绩效目标表部分内容与可行性研究报告内容不一致，如：资金总额为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6,050.49</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万元，其中政府专项债券资金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3,850.49</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万元，其他资金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2,200.00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万元；项目实施进度计划：</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月。《邵阳市北塔区茶元头公办幼儿园建设项目可行性研究报告》中本项目总投资估算为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万元，其中财政资金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万元，拟申请专项债券资金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2,000.00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万元；项目建设工期</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个月，计划</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月动工，</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月建成。”之外，绩效目标设置基本符合《北塔区“十四五”发展规划教育专项（</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年）》的长期规划，绩效目标基本与现实需求吻合。（项目绩效目标详见附件</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p>
    <w:p w14:paraId="78DF9645">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（三）投入经济性</w:t>
      </w:r>
    </w:p>
    <w:p w14:paraId="390DB2A1">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邵阳市北塔区教育局的“邵阳市北塔区茶元头办公幼儿园建设项目”计划申报资金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万元，其中财政资金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万元，拟申请专项债券资金</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2,000.00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万元；从成本投入合理性和成本控制措施有效性两个角度来分析，具体分析情况如下：</w:t>
      </w:r>
    </w:p>
    <w:p w14:paraId="43B6E634">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、成本投入合理性</w:t>
      </w:r>
    </w:p>
    <w:p w14:paraId="04B3119C">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邵阳市北塔区茶元头办公幼儿园建设项目总投资估算为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4,624.74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万元，其中：建安工程费用</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2,759.23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万元，工程建设其他费用</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1,538.40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万元（含征地拆迁费用</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1,108.80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万元），预备费</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255.11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万元，建设期利息</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72.00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w:t>
      </w:r>
    </w:p>
    <w:p w14:paraId="1A4D849B">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估算依据：国家发展改革委员会、建设部发布的《建设项目经济评价方法与参数》（第三版）、《基本建设项目建设成本管理规定》（财建〔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2016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504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号）、《国家发展改革委关于进一步放开建设项目专业服务价格的通知》发改价格〔</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2015</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299</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号、《关于规范工程造价咨询服务收费的意见》（湘建价协〔</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2016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25</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号）、工程建设监理费依据（湘监协〔</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2016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号）文规定计算、建设项目前期工作咨询费依据国家计委（计价格〔</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1999</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1283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号文）、工程勘察费按工程费用的</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计取、工程设计费依据《工程勘察设计收费标准》</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2002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年修订版规定计算、招标代理服务费按（湘招协〔</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2015</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号）文规定计算、基本预备费按第一、二部分费用之和（扣除土地费）的</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计算等。项目投资估算表详见下表：</w:t>
      </w:r>
    </w:p>
    <w:p w14:paraId="71924F20">
      <w:pPr>
        <w:keepNext w:val="0"/>
        <w:keepLines w:val="0"/>
        <w:widowControl/>
        <w:suppressLineNumbers w:val="0"/>
        <w:spacing w:before="300" w:beforeAutospacing="0" w:after="0" w:afterAutospacing="1" w:line="600" w:lineRule="atLeast"/>
        <w:ind w:left="0" w:right="0" w:firstLine="480"/>
        <w:jc w:val="right"/>
      </w:pPr>
      <w:r>
        <w:rPr>
          <w:rFonts w:hint="default" w:ascii="仿宋_GB2312" w:hAnsi="微软雅黑" w:eastAsia="仿宋_GB2312" w:cs="仿宋_GB2312"/>
          <w:i w:val="0"/>
          <w:iCs w:val="0"/>
          <w:caps w:val="0"/>
          <w:color w:val="1E1E1E"/>
          <w:spacing w:val="0"/>
          <w:kern w:val="0"/>
          <w:sz w:val="24"/>
          <w:szCs w:val="24"/>
          <w:shd w:val="clear" w:fill="FFFFFF"/>
          <w:lang w:val="en-US" w:eastAsia="zh-CN" w:bidi="ar"/>
        </w:rPr>
        <w:t>金额单位：万元</w:t>
      </w:r>
    </w:p>
    <w:tbl>
      <w:tblPr>
        <w:tblW w:w="174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47"/>
        <w:gridCol w:w="4320"/>
        <w:gridCol w:w="2550"/>
        <w:gridCol w:w="2353"/>
        <w:gridCol w:w="2295"/>
        <w:gridCol w:w="2114"/>
        <w:gridCol w:w="2336"/>
      </w:tblGrid>
      <w:tr w14:paraId="74EDBA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69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A278EA">
            <w:pPr>
              <w:keepNext w:val="0"/>
              <w:keepLines w:val="0"/>
              <w:widowControl/>
              <w:suppressLineNumbers w:val="0"/>
              <w:spacing w:before="0" w:beforeAutospacing="1" w:after="0" w:afterAutospacing="1"/>
              <w:ind w:left="0" w:right="0" w:firstLine="0"/>
              <w:jc w:val="center"/>
              <w:rPr>
                <w:sz w:val="18"/>
                <w:szCs w:val="18"/>
              </w:rPr>
            </w:pPr>
            <w:r>
              <w:rPr>
                <w:rFonts w:ascii="仿宋" w:hAnsi="仿宋" w:eastAsia="仿宋" w:cs="仿宋"/>
                <w:b/>
                <w:bCs/>
                <w:kern w:val="0"/>
                <w:sz w:val="21"/>
                <w:szCs w:val="21"/>
                <w:lang w:val="en-US" w:eastAsia="zh-CN" w:bidi="ar"/>
              </w:rPr>
              <w:t>序号</w:t>
            </w:r>
          </w:p>
        </w:tc>
        <w:tc>
          <w:tcPr>
            <w:tcW w:w="2082"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03F46B3E">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bCs/>
                <w:kern w:val="0"/>
                <w:sz w:val="21"/>
                <w:szCs w:val="21"/>
                <w:lang w:val="en-US" w:eastAsia="zh-CN" w:bidi="ar"/>
              </w:rPr>
              <w:t>建设工程内容</w:t>
            </w:r>
          </w:p>
        </w:tc>
        <w:tc>
          <w:tcPr>
            <w:tcW w:w="1229"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14:paraId="5C687D7F">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bCs/>
                <w:kern w:val="0"/>
                <w:sz w:val="21"/>
                <w:szCs w:val="21"/>
                <w:lang w:val="en-US" w:eastAsia="zh-CN" w:bidi="ar"/>
              </w:rPr>
              <w:t>建筑工程费</w:t>
            </w:r>
          </w:p>
        </w:tc>
        <w:tc>
          <w:tcPr>
            <w:tcW w:w="1134"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5C24AB43">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bCs/>
                <w:kern w:val="0"/>
                <w:sz w:val="21"/>
                <w:szCs w:val="21"/>
                <w:lang w:val="en-US" w:eastAsia="zh-CN" w:bidi="ar"/>
              </w:rPr>
              <w:t>安装工程费</w:t>
            </w:r>
          </w:p>
        </w:tc>
        <w:tc>
          <w:tcPr>
            <w:tcW w:w="1106"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601D9798">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bCs/>
                <w:kern w:val="0"/>
                <w:sz w:val="21"/>
                <w:szCs w:val="21"/>
                <w:lang w:val="en-US" w:eastAsia="zh-CN" w:bidi="ar"/>
              </w:rPr>
              <w:t>设备购置费</w:t>
            </w:r>
          </w:p>
        </w:tc>
        <w:tc>
          <w:tcPr>
            <w:tcW w:w="1019"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2F8F9655">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bCs/>
                <w:kern w:val="0"/>
                <w:sz w:val="21"/>
                <w:szCs w:val="21"/>
                <w:lang w:val="en-US" w:eastAsia="zh-CN" w:bidi="ar"/>
              </w:rPr>
              <w:t>其它费用</w:t>
            </w:r>
          </w:p>
        </w:tc>
        <w:tc>
          <w:tcPr>
            <w:tcW w:w="1126"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14:paraId="68C5192C">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bCs/>
                <w:kern w:val="0"/>
                <w:sz w:val="21"/>
                <w:szCs w:val="21"/>
                <w:lang w:val="en-US" w:eastAsia="zh-CN" w:bidi="ar"/>
              </w:rPr>
              <w:t>合计</w:t>
            </w:r>
          </w:p>
        </w:tc>
      </w:tr>
      <w:tr w14:paraId="545B59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698"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94AB72">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1</w:t>
            </w:r>
          </w:p>
        </w:tc>
        <w:tc>
          <w:tcPr>
            <w:tcW w:w="2082"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BD31D6F">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val="0"/>
                <w:bCs w:val="0"/>
                <w:kern w:val="0"/>
                <w:sz w:val="21"/>
                <w:szCs w:val="21"/>
                <w:lang w:val="en-US" w:eastAsia="zh-CN" w:bidi="ar"/>
              </w:rPr>
              <w:t>第一部分工程费用</w:t>
            </w:r>
          </w:p>
        </w:tc>
        <w:tc>
          <w:tcPr>
            <w:tcW w:w="122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BC6725">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2,729.43</w:t>
            </w:r>
          </w:p>
        </w:tc>
        <w:tc>
          <w:tcPr>
            <w:tcW w:w="1134"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E1DE3C9">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3.00</w:t>
            </w:r>
          </w:p>
        </w:tc>
        <w:tc>
          <w:tcPr>
            <w:tcW w:w="110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65F4519">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26.80</w:t>
            </w:r>
          </w:p>
        </w:tc>
        <w:tc>
          <w:tcPr>
            <w:tcW w:w="101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0CE9FC">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1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D5FA6E">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2,759.23</w:t>
            </w:r>
          </w:p>
        </w:tc>
      </w:tr>
      <w:tr w14:paraId="0AD10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698"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C67685">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2</w:t>
            </w:r>
          </w:p>
        </w:tc>
        <w:tc>
          <w:tcPr>
            <w:tcW w:w="2082"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ACBD8B">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val="0"/>
                <w:bCs w:val="0"/>
                <w:kern w:val="0"/>
                <w:sz w:val="21"/>
                <w:szCs w:val="21"/>
                <w:lang w:val="en-US" w:eastAsia="zh-CN" w:bidi="ar"/>
              </w:rPr>
              <w:t>工程建设其他费用</w:t>
            </w:r>
          </w:p>
        </w:tc>
        <w:tc>
          <w:tcPr>
            <w:tcW w:w="122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6D65A93">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134"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907215">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10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73734A0">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01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2721246">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1,538.40</w:t>
            </w:r>
          </w:p>
        </w:tc>
        <w:tc>
          <w:tcPr>
            <w:tcW w:w="11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2C16666">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1,538.40</w:t>
            </w:r>
          </w:p>
        </w:tc>
      </w:tr>
      <w:tr w14:paraId="3E2758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698"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12D01C9">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3</w:t>
            </w:r>
          </w:p>
        </w:tc>
        <w:tc>
          <w:tcPr>
            <w:tcW w:w="2082"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5AFAC6">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val="0"/>
                <w:bCs w:val="0"/>
                <w:kern w:val="0"/>
                <w:sz w:val="21"/>
                <w:szCs w:val="21"/>
                <w:lang w:val="en-US" w:eastAsia="zh-CN" w:bidi="ar"/>
              </w:rPr>
              <w:t>预备费</w:t>
            </w:r>
          </w:p>
        </w:tc>
        <w:tc>
          <w:tcPr>
            <w:tcW w:w="122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80D8B2">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134"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995773">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10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D2AC2AD">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01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2589C0C">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255.11</w:t>
            </w:r>
          </w:p>
        </w:tc>
        <w:tc>
          <w:tcPr>
            <w:tcW w:w="11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E7A756D">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255.11</w:t>
            </w:r>
          </w:p>
        </w:tc>
      </w:tr>
      <w:tr w14:paraId="2705E1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0" w:hRule="atLeast"/>
          <w:jc w:val="center"/>
        </w:trPr>
        <w:tc>
          <w:tcPr>
            <w:tcW w:w="698"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1275FC">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4</w:t>
            </w:r>
          </w:p>
        </w:tc>
        <w:tc>
          <w:tcPr>
            <w:tcW w:w="2082"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2265BF7">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val="0"/>
                <w:bCs w:val="0"/>
                <w:kern w:val="0"/>
                <w:sz w:val="21"/>
                <w:szCs w:val="21"/>
                <w:lang w:val="en-US" w:eastAsia="zh-CN" w:bidi="ar"/>
              </w:rPr>
              <w:t>建设投资</w:t>
            </w:r>
          </w:p>
        </w:tc>
        <w:tc>
          <w:tcPr>
            <w:tcW w:w="122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6FCE66">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2,729.43</w:t>
            </w:r>
          </w:p>
        </w:tc>
        <w:tc>
          <w:tcPr>
            <w:tcW w:w="1134"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top"/>
          </w:tcPr>
          <w:p w14:paraId="5D8E00FB">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3.00</w:t>
            </w:r>
          </w:p>
        </w:tc>
        <w:tc>
          <w:tcPr>
            <w:tcW w:w="110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2660C29">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26.80</w:t>
            </w:r>
          </w:p>
        </w:tc>
        <w:tc>
          <w:tcPr>
            <w:tcW w:w="101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68CDED">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1,793.51</w:t>
            </w:r>
          </w:p>
        </w:tc>
        <w:tc>
          <w:tcPr>
            <w:tcW w:w="11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F3AAC6">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4,552.74</w:t>
            </w:r>
          </w:p>
        </w:tc>
      </w:tr>
      <w:tr w14:paraId="165F61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698"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2842839">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5</w:t>
            </w:r>
          </w:p>
        </w:tc>
        <w:tc>
          <w:tcPr>
            <w:tcW w:w="2082"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DDA909F">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val="0"/>
                <w:bCs w:val="0"/>
                <w:kern w:val="0"/>
                <w:sz w:val="21"/>
                <w:szCs w:val="21"/>
                <w:lang w:val="en-US" w:eastAsia="zh-CN" w:bidi="ar"/>
              </w:rPr>
              <w:t>建设期利息</w:t>
            </w:r>
          </w:p>
        </w:tc>
        <w:tc>
          <w:tcPr>
            <w:tcW w:w="122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85DDE0D">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134"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B55447">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10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1C59CB">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w:t>
            </w:r>
          </w:p>
        </w:tc>
        <w:tc>
          <w:tcPr>
            <w:tcW w:w="101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1B4E65F">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val="0"/>
                <w:bCs w:val="0"/>
                <w:kern w:val="0"/>
                <w:sz w:val="21"/>
                <w:szCs w:val="21"/>
                <w:lang w:val="en-US" w:eastAsia="zh-CN" w:bidi="ar"/>
              </w:rPr>
              <w:t>72.00</w:t>
            </w:r>
          </w:p>
        </w:tc>
        <w:tc>
          <w:tcPr>
            <w:tcW w:w="11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C2650ED">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72.00</w:t>
            </w:r>
          </w:p>
        </w:tc>
      </w:tr>
      <w:tr w14:paraId="79825D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2780"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4EF259">
            <w:pPr>
              <w:keepNext w:val="0"/>
              <w:keepLines w:val="0"/>
              <w:widowControl/>
              <w:suppressLineNumbers w:val="0"/>
              <w:spacing w:before="0" w:beforeAutospacing="1" w:after="0" w:afterAutospacing="1"/>
              <w:ind w:left="0" w:right="0" w:firstLine="0"/>
              <w:jc w:val="center"/>
              <w:rPr>
                <w:sz w:val="18"/>
                <w:szCs w:val="18"/>
              </w:rPr>
            </w:pPr>
            <w:r>
              <w:rPr>
                <w:rFonts w:hint="eastAsia" w:ascii="仿宋" w:hAnsi="仿宋" w:eastAsia="仿宋" w:cs="仿宋"/>
                <w:b/>
                <w:bCs/>
                <w:kern w:val="0"/>
                <w:sz w:val="21"/>
                <w:szCs w:val="21"/>
                <w:lang w:val="en-US" w:eastAsia="zh-CN" w:bidi="ar"/>
              </w:rPr>
              <w:t>合计</w:t>
            </w:r>
          </w:p>
        </w:tc>
        <w:tc>
          <w:tcPr>
            <w:tcW w:w="122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EDCCB4">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2,729.43</w:t>
            </w:r>
          </w:p>
        </w:tc>
        <w:tc>
          <w:tcPr>
            <w:tcW w:w="1134"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502526">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3.00</w:t>
            </w:r>
          </w:p>
        </w:tc>
        <w:tc>
          <w:tcPr>
            <w:tcW w:w="110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9A8C3F">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26.80</w:t>
            </w:r>
          </w:p>
        </w:tc>
        <w:tc>
          <w:tcPr>
            <w:tcW w:w="1019"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92DFFB8">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1,865.51</w:t>
            </w:r>
          </w:p>
        </w:tc>
        <w:tc>
          <w:tcPr>
            <w:tcW w:w="112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D97379">
            <w:pPr>
              <w:keepNext w:val="0"/>
              <w:keepLines w:val="0"/>
              <w:widowControl/>
              <w:suppressLineNumbers w:val="0"/>
              <w:spacing w:before="0" w:beforeAutospacing="1" w:after="0" w:afterAutospacing="1"/>
              <w:ind w:left="0" w:right="0" w:firstLine="0"/>
              <w:jc w:val="center"/>
              <w:rPr>
                <w:sz w:val="18"/>
                <w:szCs w:val="18"/>
              </w:rPr>
            </w:pPr>
            <w:r>
              <w:rPr>
                <w:rFonts w:hint="default" w:ascii="Times New Roman" w:hAnsi="Times New Roman" w:cs="Times New Roman" w:eastAsiaTheme="minorEastAsia"/>
                <w:b/>
                <w:bCs/>
                <w:kern w:val="0"/>
                <w:sz w:val="21"/>
                <w:szCs w:val="21"/>
                <w:lang w:val="en-US" w:eastAsia="zh-CN" w:bidi="ar"/>
              </w:rPr>
              <w:t>4,624.74</w:t>
            </w:r>
          </w:p>
        </w:tc>
      </w:tr>
    </w:tbl>
    <w:p w14:paraId="713E0D21">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2</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、成本控制措施有效性</w:t>
      </w:r>
    </w:p>
    <w:p w14:paraId="7D5B3B2D">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教育局制定了《北塔区教育局财务管理制度》，制度中预决算管理、收入管理、支出管理、审批管理、资金管理、政府采购制度做出了明确规定，但是制度仍为区教育局的财务管理制度，未根据项目建设情况及项目性质修订新的制度；</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项目可行性研究报告中明确要建立健全资金的内部管理制度，实际上无内部管理制度；成本控制措施欠缺。</w:t>
      </w:r>
    </w:p>
    <w:p w14:paraId="666E626C">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（四）实施方案可行性</w:t>
      </w:r>
    </w:p>
    <w:p w14:paraId="0F822C51">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茶元头办公幼儿园建设项目的具体实施方案主要依据为《邵阳市北塔区茶元头公办幼儿园建设项目可行性研究报告》，报告中明确了具体项目地点、建设工期、建设内容及规模、建设条件、投资估算与资金筹措、项目建设方案、消防、劳动安全与卫生、项目组织机构与管理、项目进度、招标方案、风险分析等等情况，详细情况如下：</w:t>
      </w:r>
    </w:p>
    <w:p w14:paraId="7112667B">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、项目组织机构与管理：</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项目实行法人负责制，机构按照统一领导、分层管理、人员精简的原则设置。项目建设指挥部拟配置行政管理、计划财务、施工管理、设备材料管理、技术管理等工作人员</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人。</w:t>
      </w:r>
    </w:p>
    <w:p w14:paraId="17696AAE">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2</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、建设条件：</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项目用水，可从附近引入灌溉用水；所需电力可从附近农网接入；项目配套建设三格式化粪池，可实现生活污水达标排放；项目旁有建好的农村道路，道路条件优良，能够满足项目使用；建筑材料符合要求，可从建材市场购买，可用汽车运输，运输方便。</w:t>
      </w:r>
    </w:p>
    <w:p w14:paraId="2FD9F13B">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3</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、进度管理：</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在施工承包合同、监理合同中写进有关工期、进度违约金等条款，通过招标的优惠条件鼓励施工单位加快进度，控制对投资的投放速度，控制对物资的供应，建立相应的奖励和惩罚措施等。依据规划、控制和协调等管理职能手段，在工程的准备及实施的全过程中，对工程进度进行控制。根据目标工期编制合理的项目进度计划，定期收集反映实际进度的有关数据，同时进行现场实地检查。</w:t>
      </w:r>
    </w:p>
    <w:p w14:paraId="3CF7A406">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4</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、招标范围：</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根据《必须招标的工程项目规定》（国家发展和改革委员会令第</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）的规定，自</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2018</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日起，全部或者部分使用国有资金投资或者国家融资的项目，其勘察、设计、施工、监理以及与工程建设有关的重要设备、材料等的采购达到下列标准之一的，必须招标：（一）施工单项合同估算价在</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万元人民币以上；（二）重要设备、材料等货物的采购，单项合同估算价在</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万元人民币以上；邵阳市北塔区茶元头公办幼儿园建设项目可行性研究报告（三）勘察、设计、监理等服务的采购，单项合同估算价在</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万元人民币以上。同一项目中可以合并进行的勘察、设计、施工、监理以及与工程建设有关的重要设备、材料等的采购，合同估算价合计达到前款规定标准的，必须招标。</w:t>
      </w:r>
    </w:p>
    <w:p w14:paraId="2682C1F1">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5</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、劳动安全：</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严格执行国家有关规范标准，严格执行工作程序，并努力改善工作条件和现有环境，严格执行劳动法和采取劳动安全保护措施，以确保项目建设人员、服务人员的身体健康，维护正常的工作、生活秩序。</w:t>
      </w:r>
    </w:p>
    <w:p w14:paraId="087E1657">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6</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、消防安全：</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规划总图布置满足消防规范要求，在校区道路能覆盖到大部分教学楼；道路的宽度，转弯半径须给消防车通行留有空间，建筑物均将连廊跨梁上翻，满足消防车进出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4m</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净高的要求，确保消防车畅通行驶；校园内各建筑物之间的间距均须符合消防规范，单体建筑在设计时应按消防规范要求设置安全疏散楼梯通道，以满足消防安全要求</w:t>
      </w:r>
    </w:p>
    <w:p w14:paraId="511B276C">
      <w:pPr>
        <w:keepNext w:val="0"/>
        <w:keepLines w:val="0"/>
        <w:widowControl/>
        <w:suppressLineNumbers w:val="0"/>
        <w:spacing w:before="300" w:beforeAutospacing="0" w:after="0" w:afterAutospacing="1" w:line="600" w:lineRule="atLeast"/>
        <w:ind w:left="0" w:right="0" w:firstLine="643"/>
        <w:jc w:val="left"/>
      </w:pPr>
      <w:r>
        <w:rPr>
          <w:rFonts w:hint="default" w:ascii="Times New Roman" w:hAnsi="Times New Roman" w:eastAsia="仿宋_GB2312" w:cs="Times New Roman"/>
          <w:b/>
          <w:bCs/>
          <w:i w:val="0"/>
          <w:iCs w:val="0"/>
          <w:caps w:val="0"/>
          <w:color w:val="1E1E1E"/>
          <w:spacing w:val="0"/>
          <w:kern w:val="0"/>
          <w:sz w:val="32"/>
          <w:szCs w:val="32"/>
          <w:shd w:val="clear" w:fill="FFFFFF"/>
          <w:lang w:val="en-US" w:eastAsia="zh-CN" w:bidi="ar"/>
        </w:rPr>
        <w:t>7</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、生态性风险：</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工程建设期间，排气、排水、废物处理等，可能对周围自然环境造成一定的负面影响。建设期间应倡导和推行绿色施工，严格执行《绿色施工导则》，减少生态性风险等等。</w:t>
      </w:r>
    </w:p>
    <w:p w14:paraId="545B9B08">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结论：</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除“建设工期为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个月，</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月；项目进度计划：建设总工期预计</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个月，具体安排如下：</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月底以前，完成项目的决策、立项审批；</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月底以前，完成规划设计、报建和施工招标；</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2023</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月至</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月，完成施工建设工程；</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月初，竣工验收。”，存在项目建设工期和项目进度安排不一致、项目未建立事中管控措施以及绩效监控等机制外，项目</w:t>
      </w:r>
      <w:r>
        <w:rPr>
          <w:rFonts w:hint="default" w:ascii="仿宋_GB2312" w:hAnsi="微软雅黑" w:eastAsia="仿宋_GB2312" w:cs="仿宋_GB2312"/>
          <w:b w:val="0"/>
          <w:bCs w:val="0"/>
          <w:i w:val="0"/>
          <w:iCs w:val="0"/>
          <w:caps w:val="0"/>
          <w:color w:val="1E1E1E"/>
          <w:spacing w:val="0"/>
          <w:kern w:val="0"/>
          <w:sz w:val="32"/>
          <w:szCs w:val="32"/>
          <w:shd w:val="clear" w:fill="FFFFFF"/>
          <w:lang w:val="en-US" w:eastAsia="zh-CN" w:bidi="ar"/>
        </w:rPr>
        <w:t>的实施方案基本可行。</w:t>
      </w:r>
    </w:p>
    <w:p w14:paraId="02494CFD">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（五）筹资合规性</w:t>
      </w:r>
    </w:p>
    <w:p w14:paraId="1AD080E2">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邵阳市北塔区茶元头办公幼儿园建设项目资金筹资渠道为北塔区财政资金和政府专项债券资金：</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政府专项债券资金拟发行地方政府债券融资</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2,000.00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万元，债券预测利率以相同待偿期国债收益率算术平均值上浮</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确定，计划发行专项债券财务基准收益率按</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3.60%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进行测算；计算期</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年，建设期</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年，运营期</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19</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年；本项目偿债资金来源于债券存续期内的净收益；通过估算，项目债券存续期内的预期收入为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6,373.07</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万元，运营成本估算为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2,161.78</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万元，可用于融资平衡的净收益估算为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4,211.29</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万元，通过项目还本付息计算，债券存续期内需偿还的本息共计</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3,440.00</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万元，通过测算，预计相关收益对债券本息的覆盖倍数</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1.22</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倍。</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北塔区财政资金在区财政承受范围内，筹资合规，未发现类似项目资金重复投入。</w:t>
      </w:r>
    </w:p>
    <w:p w14:paraId="65AA4A22">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（六）总体结论</w:t>
      </w:r>
    </w:p>
    <w:p w14:paraId="7542CDC8">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综上所述，从项目的立项必要性、绩效目标合理性、投入经济性、实施方案可行性、筹资合规性五个方面进行综合评分，结合专家组意见，综合评分为</w:t>
      </w:r>
      <w:r>
        <w:rPr>
          <w:rFonts w:hint="default" w:ascii="Times New Roman" w:hAnsi="Times New Roman" w:eastAsia="仿宋_GB2312" w:cs="Times New Roman"/>
          <w:i w:val="0"/>
          <w:iCs w:val="0"/>
          <w:caps w:val="0"/>
          <w:color w:val="1E1E1E"/>
          <w:spacing w:val="0"/>
          <w:kern w:val="0"/>
          <w:sz w:val="32"/>
          <w:szCs w:val="32"/>
          <w:shd w:val="clear" w:fill="FFFFFF"/>
          <w:lang w:val="en-US" w:eastAsia="zh-CN" w:bidi="ar"/>
        </w:rPr>
        <w:t>88</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分，评分等级为“良好”。在单位补充完善制度建设、绩效目标设置、成本控制措施后，建议给予资金支持。</w:t>
      </w:r>
    </w:p>
    <w:p w14:paraId="5D37B48B">
      <w:pPr>
        <w:keepNext w:val="0"/>
        <w:keepLines w:val="0"/>
        <w:widowControl/>
        <w:suppressLineNumbers w:val="0"/>
        <w:spacing w:before="300" w:beforeAutospacing="0" w:after="0" w:afterAutospacing="1" w:line="600" w:lineRule="atLeast"/>
        <w:ind w:left="0" w:right="0" w:firstLine="640"/>
        <w:jc w:val="left"/>
      </w:pPr>
      <w:r>
        <w:rPr>
          <w:rFonts w:hint="eastAsia" w:ascii="黑体" w:hAnsi="宋体" w:eastAsia="黑体" w:cs="黑体"/>
          <w:i w:val="0"/>
          <w:iCs w:val="0"/>
          <w:caps w:val="0"/>
          <w:color w:val="1E1E1E"/>
          <w:spacing w:val="0"/>
          <w:kern w:val="0"/>
          <w:sz w:val="32"/>
          <w:szCs w:val="32"/>
          <w:shd w:val="clear" w:fill="FFFFFF"/>
          <w:lang w:val="en-US" w:eastAsia="zh-CN" w:bidi="ar"/>
        </w:rPr>
        <w:t>四、评估的相关建议</w:t>
      </w:r>
    </w:p>
    <w:p w14:paraId="41D84C5A">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（一）绩效目标合理性方面</w:t>
      </w:r>
    </w:p>
    <w:p w14:paraId="458A8BB5">
      <w:pPr>
        <w:keepNext w:val="0"/>
        <w:keepLines w:val="0"/>
        <w:widowControl/>
        <w:suppressLineNumbers w:val="0"/>
        <w:spacing w:before="300" w:beforeAutospacing="0" w:after="0" w:afterAutospacing="1" w:line="600" w:lineRule="atLeast"/>
        <w:ind w:left="0" w:right="0" w:firstLine="643"/>
        <w:jc w:val="left"/>
      </w:pP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一是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加强绩效管理，设置合理且可衡量的绩效指标，加强绩效目标的约束作用，根据可行性研究报告内容，设置合理的绩效指标，以便有明确、清晰的绩效考核要点。</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二是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加强绩效运行事中监控，在绩效目标存在偏差时及时分析偏差原因，需要调整绩效目标的应及时纠正。</w:t>
      </w:r>
      <w:r>
        <w:rPr>
          <w:rFonts w:hint="default" w:ascii="仿宋_GB2312" w:hAnsi="微软雅黑" w:eastAsia="仿宋_GB2312" w:cs="仿宋_GB2312"/>
          <w:b/>
          <w:bCs/>
          <w:i w:val="0"/>
          <w:iCs w:val="0"/>
          <w:caps w:val="0"/>
          <w:color w:val="1E1E1E"/>
          <w:spacing w:val="0"/>
          <w:kern w:val="0"/>
          <w:sz w:val="32"/>
          <w:szCs w:val="32"/>
          <w:shd w:val="clear" w:fill="FFFFFF"/>
          <w:lang w:val="en-US" w:eastAsia="zh-CN" w:bidi="ar"/>
        </w:rPr>
        <w:t>三是</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建立绩效管理机制，建立绩效管理制度，做好绩效管理培训。</w:t>
      </w:r>
    </w:p>
    <w:p w14:paraId="2E4AF57A">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（二）投入经济性方面</w:t>
      </w:r>
    </w:p>
    <w:p w14:paraId="0F6D44AD">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建议单位根据项目建设要点以及现行政府采购制度、业务模式等内容要建立健全资金的内部管理制度；建立项目成本控制措施，节约成本，加强对资金的监督管理，避免财政资金投入风险。</w:t>
      </w:r>
    </w:p>
    <w:p w14:paraId="64BDA16A">
      <w:pPr>
        <w:keepNext w:val="0"/>
        <w:keepLines w:val="0"/>
        <w:widowControl/>
        <w:suppressLineNumbers w:val="0"/>
        <w:spacing w:before="300" w:beforeAutospacing="0" w:after="0" w:afterAutospacing="1" w:line="600" w:lineRule="atLeast"/>
        <w:ind w:left="0" w:right="0" w:firstLine="643"/>
        <w:jc w:val="left"/>
      </w:pPr>
      <w:r>
        <w:rPr>
          <w:rFonts w:hint="default" w:ascii="楷体_GB2312" w:hAnsi="微软雅黑" w:eastAsia="楷体_GB2312" w:cs="楷体_GB2312"/>
          <w:b/>
          <w:bCs/>
          <w:i w:val="0"/>
          <w:iCs w:val="0"/>
          <w:caps w:val="0"/>
          <w:color w:val="1E1E1E"/>
          <w:spacing w:val="0"/>
          <w:kern w:val="0"/>
          <w:sz w:val="32"/>
          <w:szCs w:val="32"/>
          <w:shd w:val="clear" w:fill="FFFFFF"/>
          <w:lang w:val="en-US" w:eastAsia="zh-CN" w:bidi="ar"/>
        </w:rPr>
        <w:t>（三）实施方案可行性方面</w:t>
      </w:r>
    </w:p>
    <w:p w14:paraId="1FB4613F">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加强实施方案落地可行性管理，对于项目建设工期和项目进度合理安排；加强工作组织实施过程管理，做到项目责任到人，确保基础设施条件能够得以有效保障，项目执行过程无障碍，项目顺利实施。</w:t>
      </w:r>
    </w:p>
    <w:p w14:paraId="51B81295">
      <w:pPr>
        <w:keepNext w:val="0"/>
        <w:keepLines w:val="0"/>
        <w:widowControl/>
        <w:suppressLineNumbers w:val="0"/>
        <w:spacing w:before="300" w:beforeAutospacing="0" w:after="0" w:afterAutospacing="1" w:line="600" w:lineRule="atLeast"/>
        <w:ind w:left="0" w:right="0" w:firstLine="640"/>
        <w:jc w:val="left"/>
      </w:pPr>
      <w:r>
        <w:rPr>
          <w:rFonts w:hint="eastAsia" w:ascii="黑体" w:hAnsi="宋体" w:eastAsia="黑体" w:cs="黑体"/>
          <w:i w:val="0"/>
          <w:iCs w:val="0"/>
          <w:caps w:val="0"/>
          <w:color w:val="1E1E1E"/>
          <w:spacing w:val="0"/>
          <w:kern w:val="0"/>
          <w:sz w:val="32"/>
          <w:szCs w:val="32"/>
          <w:shd w:val="clear" w:fill="FFFFFF"/>
          <w:lang w:val="en-US" w:eastAsia="zh-CN" w:bidi="ar"/>
        </w:rPr>
        <w:t>五、其他需要说明的问题</w:t>
      </w:r>
    </w:p>
    <w:p w14:paraId="212EA19A">
      <w:pPr>
        <w:keepNext w:val="0"/>
        <w:keepLines w:val="0"/>
        <w:widowControl/>
        <w:suppressLineNumbers w:val="0"/>
        <w:spacing w:before="300" w:beforeAutospacing="0" w:after="0" w:afterAutospacing="1" w:line="600" w:lineRule="atLeast"/>
        <w:ind w:left="0" w:right="0" w:firstLine="640"/>
        <w:jc w:val="left"/>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本次事前绩效评估工作基于项目单位提供的资料及沟通情况开展，项目资料的完整性和真实性由项目单位负责。此次评估结果仅作为政府决策的参考依据，本公司对以上评估结果不承担法律责任，非经委托方和本所许可，不得用于其他目的。</w:t>
      </w:r>
      <w:r>
        <w:rPr>
          <w:rFonts w:hint="eastAsia" w:ascii="宋体" w:hAnsi="宋体" w:eastAsia="宋体" w:cs="宋体"/>
          <w:i w:val="0"/>
          <w:iCs w:val="0"/>
          <w:caps w:val="0"/>
          <w:color w:val="1E1E1E"/>
          <w:spacing w:val="0"/>
          <w:kern w:val="0"/>
          <w:sz w:val="21"/>
          <w:szCs w:val="21"/>
          <w:shd w:val="clear" w:fill="FFFFFF"/>
          <w:lang w:val="en-US" w:eastAsia="zh-CN" w:bidi="ar"/>
        </w:rPr>
        <w:t> </w:t>
      </w:r>
    </w:p>
    <w:p w14:paraId="1653BF3A">
      <w:pPr>
        <w:keepNext w:val="0"/>
        <w:keepLines w:val="0"/>
        <w:widowControl/>
        <w:suppressLineNumbers w:val="0"/>
        <w:spacing w:before="300" w:beforeAutospacing="0" w:after="0" w:afterAutospacing="1" w:line="540" w:lineRule="atLeast"/>
        <w:ind w:left="0" w:right="0"/>
        <w:jc w:val="left"/>
      </w:pPr>
      <w:r>
        <w:rPr>
          <w:rFonts w:hint="eastAsia" w:ascii="宋体" w:hAnsi="宋体" w:eastAsia="宋体" w:cs="宋体"/>
          <w:i w:val="0"/>
          <w:iCs w:val="0"/>
          <w:caps w:val="0"/>
          <w:color w:val="1E1E1E"/>
          <w:spacing w:val="0"/>
          <w:kern w:val="0"/>
          <w:sz w:val="21"/>
          <w:szCs w:val="21"/>
          <w:shd w:val="clear" w:fill="FFFFFF"/>
          <w:lang w:val="en-US" w:eastAsia="zh-CN" w:bidi="ar"/>
        </w:rPr>
        <w:t> </w:t>
      </w:r>
    </w:p>
    <w:p w14:paraId="358DF2C8">
      <w:pPr>
        <w:keepNext w:val="0"/>
        <w:keepLines w:val="0"/>
        <w:widowControl/>
        <w:suppressLineNumbers w:val="0"/>
        <w:spacing w:before="300" w:beforeAutospacing="0" w:after="0" w:afterAutospacing="1" w:line="540" w:lineRule="atLeast"/>
        <w:ind w:left="0" w:right="0"/>
        <w:jc w:val="left"/>
      </w:pPr>
      <w:r>
        <w:rPr>
          <w:rFonts w:hint="eastAsia" w:ascii="黑体" w:hAnsi="宋体" w:eastAsia="黑体" w:cs="黑体"/>
          <w:i w:val="0"/>
          <w:iCs w:val="0"/>
          <w:caps w:val="0"/>
          <w:color w:val="000000"/>
          <w:spacing w:val="0"/>
          <w:kern w:val="0"/>
          <w:sz w:val="31"/>
          <w:szCs w:val="31"/>
          <w:shd w:val="clear" w:fill="FFFFFF"/>
          <w:lang w:val="en-US" w:eastAsia="zh-CN" w:bidi="ar"/>
        </w:rPr>
        <w:t>附件：</w:t>
      </w:r>
      <w:r>
        <w:rPr>
          <w:rFonts w:hint="default" w:ascii="Times New Roman" w:hAnsi="Times New Roman" w:eastAsia="微软雅黑" w:cs="Times New Roman"/>
          <w:i w:val="0"/>
          <w:iCs w:val="0"/>
          <w:caps w:val="0"/>
          <w:color w:val="000000"/>
          <w:spacing w:val="0"/>
          <w:kern w:val="0"/>
          <w:sz w:val="31"/>
          <w:szCs w:val="31"/>
          <w:shd w:val="clear" w:fill="FFFFFF"/>
          <w:lang w:val="en-US" w:eastAsia="zh-CN" w:bidi="ar"/>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begin"/>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instrText xml:space="preserve"> HYPERLINK "https://www.beita.gov.cn/beita/nczzjzdjc/202212/19df9c4549394a1bb615fe3be6a50806/files/c201b0b8b35a4bb18e05e899f02d6ca6.docx" \t "https://www.beita.gov.cn/beita/nczzjzdjc/202212/_blank" </w:instrText>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separate"/>
      </w:r>
      <w:r>
        <w:rPr>
          <w:rStyle w:val="5"/>
          <w:rFonts w:hint="default" w:ascii="Times New Roman" w:hAnsi="Times New Roman" w:eastAsia="微软雅黑" w:cs="Times New Roman"/>
          <w:i w:val="0"/>
          <w:iCs w:val="0"/>
          <w:caps w:val="0"/>
          <w:color w:val="1D1D1D"/>
          <w:spacing w:val="0"/>
          <w:sz w:val="31"/>
          <w:szCs w:val="31"/>
          <w:u w:val="none"/>
          <w:shd w:val="clear" w:fill="FFFFFF"/>
        </w:rPr>
        <w:t>附件1、项目绩效目标表</w:t>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end"/>
      </w:r>
    </w:p>
    <w:p w14:paraId="6DF016EE">
      <w:pPr>
        <w:keepNext w:val="0"/>
        <w:keepLines w:val="0"/>
        <w:widowControl/>
        <w:suppressLineNumbers w:val="0"/>
        <w:spacing w:before="300" w:beforeAutospacing="0" w:after="0" w:afterAutospacing="1" w:line="540" w:lineRule="atLeast"/>
        <w:ind w:left="0" w:right="0" w:firstLine="930"/>
        <w:jc w:val="left"/>
      </w:pPr>
      <w:r>
        <w:rPr>
          <w:rFonts w:hint="default" w:ascii="Times New Roman" w:hAnsi="Times New Roman" w:eastAsia="微软雅黑" w:cs="Times New Roman"/>
          <w:i w:val="0"/>
          <w:iCs w:val="0"/>
          <w:caps w:val="0"/>
          <w:color w:val="000000"/>
          <w:spacing w:val="0"/>
          <w:kern w:val="0"/>
          <w:sz w:val="31"/>
          <w:szCs w:val="31"/>
          <w:shd w:val="clear" w:fill="FFFFFF"/>
          <w:lang w:val="en-US" w:eastAsia="zh-CN" w:bidi="ar"/>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begin"/>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instrText xml:space="preserve"> HYPERLINK "https://www.beita.gov.cn/beita/nczzjzdjc/202212/19df9c4549394a1bb615fe3be6a50806/files/12cea5e5bae44b819c45f0089b188bf0.docx" \t "https://www.beita.gov.cn/beita/nczzjzdjc/202212/_blank" </w:instrText>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separate"/>
      </w:r>
      <w:r>
        <w:rPr>
          <w:rStyle w:val="5"/>
          <w:rFonts w:hint="default" w:ascii="Times New Roman" w:hAnsi="Times New Roman" w:eastAsia="微软雅黑" w:cs="Times New Roman"/>
          <w:i w:val="0"/>
          <w:iCs w:val="0"/>
          <w:caps w:val="0"/>
          <w:color w:val="1D1D1D"/>
          <w:spacing w:val="0"/>
          <w:sz w:val="31"/>
          <w:szCs w:val="31"/>
          <w:u w:val="none"/>
          <w:shd w:val="clear" w:fill="FFFFFF"/>
        </w:rPr>
        <w:t>附件2、预算事前绩效评估指标体系</w:t>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end"/>
      </w:r>
    </w:p>
    <w:p w14:paraId="32E99C6A">
      <w:pPr>
        <w:keepNext w:val="0"/>
        <w:keepLines w:val="0"/>
        <w:widowControl/>
        <w:suppressLineNumbers w:val="0"/>
        <w:spacing w:before="300" w:beforeAutospacing="0" w:after="0" w:afterAutospacing="1" w:line="540" w:lineRule="atLeast"/>
        <w:ind w:left="0" w:right="0" w:firstLine="930"/>
        <w:jc w:val="left"/>
      </w:pPr>
      <w:r>
        <w:rPr>
          <w:rFonts w:hint="default" w:ascii="Times New Roman" w:hAnsi="Times New Roman" w:eastAsia="微软雅黑" w:cs="Times New Roman"/>
          <w:i w:val="0"/>
          <w:iCs w:val="0"/>
          <w:caps w:val="0"/>
          <w:color w:val="000000"/>
          <w:spacing w:val="0"/>
          <w:kern w:val="0"/>
          <w:sz w:val="31"/>
          <w:szCs w:val="31"/>
          <w:shd w:val="clear" w:fill="FFFFFF"/>
          <w:lang w:val="en-US" w:eastAsia="zh-CN" w:bidi="ar"/>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begin"/>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instrText xml:space="preserve"> HYPERLINK "https://www.beita.gov.cn/beita/nczzjzdjc/202212/19df9c4549394a1bb615fe3be6a50806/files/3a9f9b67000a4b1f9d147bb0c22a4572.docx" \t "https://www.beita.gov.cn/beita/nczzjzdjc/202212/_blank" </w:instrText>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separate"/>
      </w:r>
      <w:r>
        <w:rPr>
          <w:rStyle w:val="5"/>
          <w:rFonts w:hint="default" w:ascii="Times New Roman" w:hAnsi="Times New Roman" w:eastAsia="微软雅黑" w:cs="Times New Roman"/>
          <w:i w:val="0"/>
          <w:iCs w:val="0"/>
          <w:caps w:val="0"/>
          <w:color w:val="1D1D1D"/>
          <w:spacing w:val="0"/>
          <w:sz w:val="31"/>
          <w:szCs w:val="31"/>
          <w:u w:val="none"/>
          <w:shd w:val="clear" w:fill="FFFFFF"/>
        </w:rPr>
        <w:t>附件3、事前绩效评估专家意见书</w:t>
      </w:r>
      <w:r>
        <w:rPr>
          <w:rFonts w:hint="default" w:ascii="Times New Roman" w:hAnsi="Times New Roman" w:eastAsia="微软雅黑" w:cs="Times New Roman"/>
          <w:i w:val="0"/>
          <w:iCs w:val="0"/>
          <w:caps w:val="0"/>
          <w:color w:val="1D1D1D"/>
          <w:spacing w:val="0"/>
          <w:kern w:val="0"/>
          <w:sz w:val="31"/>
          <w:szCs w:val="31"/>
          <w:u w:val="none"/>
          <w:shd w:val="clear" w:fill="FFFFFF"/>
          <w:lang w:val="en-US" w:eastAsia="zh-CN" w:bidi="ar"/>
        </w:rPr>
        <w:fldChar w:fldCharType="end"/>
      </w:r>
    </w:p>
    <w:p w14:paraId="22904778">
      <w:pPr>
        <w:pStyle w:val="2"/>
        <w:keepNext w:val="0"/>
        <w:keepLines w:val="0"/>
        <w:widowControl/>
        <w:suppressLineNumbers w:val="0"/>
        <w:spacing w:before="300" w:beforeAutospacing="0" w:after="0" w:afterAutospacing="1" w:line="540" w:lineRule="atLeast"/>
        <w:ind w:left="0" w:right="0"/>
      </w:pPr>
      <w:r>
        <w:rPr>
          <w:rFonts w:hint="eastAsia" w:ascii="宋体" w:hAnsi="宋体" w:eastAsia="宋体" w:cs="宋体"/>
          <w:i w:val="0"/>
          <w:iCs w:val="0"/>
          <w:caps w:val="0"/>
          <w:color w:val="1E1E1E"/>
          <w:spacing w:val="0"/>
          <w:sz w:val="21"/>
          <w:szCs w:val="21"/>
          <w:shd w:val="clear" w:fill="FFFFFF"/>
        </w:rPr>
        <w:t> </w:t>
      </w:r>
    </w:p>
    <w:p w14:paraId="1C4B85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NlNmEzZjJjYWExMDg4YTZlMDg3YTc1YTI2NzMifQ=="/>
  </w:docVars>
  <w:rsids>
    <w:rsidRoot w:val="00000000"/>
    <w:rsid w:val="31EF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5091</Words>
  <Characters>5579</Characters>
  <Lines>0</Lines>
  <Paragraphs>0</Paragraphs>
  <TotalTime>3</TotalTime>
  <ScaleCrop>false</ScaleCrop>
  <LinksUpToDate>false</LinksUpToDate>
  <CharactersWithSpaces>5589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2024-10-25T02:39:44Z</dcterms:created>
  <dc:creator>Administrator</dc:creator>
  <cp:lastModifiedBy>Administrator</cp:lastModifiedBy>
  <dcterms:modified xsi:type="dcterms:W3CDTF">2024-10-25T02:43:15Z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1D9609A2446143F1B2C5185DED4A1B87_12</vt:lpwstr>
  </property>
</Properties>
</file>