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
          <w:bCs/>
          <w:sz w:val="52"/>
          <w:szCs w:val="52"/>
        </w:rPr>
      </w:pPr>
    </w:p>
    <w:p>
      <w:pPr>
        <w:jc w:val="center"/>
        <w:rPr>
          <w:rFonts w:eastAsia="方正小标宋简体"/>
          <w:b/>
          <w:bCs/>
          <w:sz w:val="52"/>
          <w:szCs w:val="52"/>
        </w:rPr>
      </w:pPr>
    </w:p>
    <w:p>
      <w:pPr>
        <w:spacing w:line="600" w:lineRule="exact"/>
        <w:jc w:val="center"/>
        <w:rPr>
          <w:rFonts w:eastAsia="方正小标宋简体" w:cs="方正小标宋简体"/>
          <w:b/>
          <w:bCs/>
          <w:sz w:val="52"/>
          <w:szCs w:val="52"/>
        </w:rPr>
      </w:pPr>
    </w:p>
    <w:p>
      <w:pPr>
        <w:spacing w:line="600" w:lineRule="exact"/>
        <w:jc w:val="center"/>
        <w:rPr>
          <w:rFonts w:eastAsia="方正小标宋简体"/>
          <w:sz w:val="52"/>
          <w:szCs w:val="52"/>
        </w:rPr>
      </w:pPr>
      <w:bookmarkStart w:id="0" w:name="_Hlk153787976"/>
      <w:r>
        <w:rPr>
          <w:rFonts w:hint="eastAsia" w:eastAsia="方正小标宋简体" w:cs="方正小标宋简体"/>
          <w:b/>
          <w:bCs/>
          <w:sz w:val="52"/>
          <w:szCs w:val="52"/>
        </w:rPr>
        <w:t>事前绩效评估报告</w:t>
      </w:r>
    </w:p>
    <w:p>
      <w:pPr>
        <w:jc w:val="center"/>
        <w:rPr>
          <w:rFonts w:eastAsia="楷体_GB2312"/>
          <w:sz w:val="32"/>
          <w:szCs w:val="32"/>
        </w:rPr>
      </w:pPr>
    </w:p>
    <w:p>
      <w:pPr>
        <w:jc w:val="center"/>
        <w:rPr>
          <w:rFonts w:eastAsia="楷体_GB2312"/>
          <w:sz w:val="32"/>
          <w:szCs w:val="32"/>
        </w:rPr>
      </w:pPr>
    </w:p>
    <w:p>
      <w:pPr>
        <w:jc w:val="center"/>
        <w:rPr>
          <w:rFonts w:eastAsia="楷体_GB2312"/>
          <w:sz w:val="32"/>
          <w:szCs w:val="32"/>
        </w:rPr>
      </w:pPr>
    </w:p>
    <w:p>
      <w:pPr>
        <w:jc w:val="center"/>
        <w:rPr>
          <w:rFonts w:eastAsia="楷体_GB2312"/>
          <w:sz w:val="32"/>
          <w:szCs w:val="32"/>
        </w:rPr>
      </w:pPr>
    </w:p>
    <w:p>
      <w:pPr>
        <w:jc w:val="center"/>
        <w:rPr>
          <w:rFonts w:eastAsia="楷体_GB2312"/>
          <w:sz w:val="32"/>
          <w:szCs w:val="32"/>
        </w:rPr>
      </w:pPr>
    </w:p>
    <w:p>
      <w:pPr>
        <w:jc w:val="center"/>
        <w:rPr>
          <w:rFonts w:eastAsia="楷体_GB2312"/>
          <w:sz w:val="32"/>
          <w:szCs w:val="32"/>
        </w:rPr>
      </w:pPr>
    </w:p>
    <w:p>
      <w:pPr>
        <w:rPr>
          <w:rFonts w:eastAsia="仿宋_GB2312"/>
          <w:sz w:val="32"/>
          <w:szCs w:val="32"/>
          <w:u w:val="single"/>
        </w:rPr>
      </w:pPr>
    </w:p>
    <w:tbl>
      <w:tblPr>
        <w:tblStyle w:val="9"/>
        <w:tblpPr w:leftFromText="180" w:rightFromText="180" w:vertAnchor="text" w:horzAnchor="page" w:tblpX="2196" w:tblpY="497"/>
        <w:tblOverlap w:val="never"/>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ascii="仿宋" w:hAnsi="仿宋" w:eastAsia="仿宋" w:cs="仿宋"/>
                <w:b/>
                <w:bCs/>
                <w:sz w:val="32"/>
                <w:szCs w:val="32"/>
              </w:rPr>
              <w:t>项目名称：</w:t>
            </w:r>
          </w:p>
        </w:tc>
        <w:tc>
          <w:tcPr>
            <w:tcW w:w="5852" w:type="dxa"/>
            <w:tcBorders>
              <w:top w:val="nil"/>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u w:val="none"/>
                <w:lang w:val="en-US" w:eastAsia="zh-CN"/>
              </w:rPr>
              <w:t>北塔区高撑小学提质改造</w:t>
            </w:r>
            <w:r>
              <w:rPr>
                <w:rFonts w:hint="eastAsia" w:ascii="仿宋" w:hAnsi="仿宋" w:eastAsia="仿宋" w:cs="仿宋"/>
                <w:sz w:val="32"/>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项目单位</w:t>
            </w:r>
            <w:r>
              <w:rPr>
                <w:rFonts w:hint="eastAsia" w:ascii="仿宋" w:hAnsi="仿宋" w:eastAsia="仿宋" w:cs="仿宋"/>
                <w:b/>
                <w:bCs/>
                <w:sz w:val="32"/>
                <w:szCs w:val="32"/>
              </w:rPr>
              <w:t>：</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邵阳市北塔区</w:t>
            </w:r>
            <w:r>
              <w:rPr>
                <w:rFonts w:hint="eastAsia" w:ascii="仿宋" w:hAnsi="仿宋" w:eastAsia="仿宋" w:cs="仿宋"/>
                <w:sz w:val="32"/>
                <w:szCs w:val="32"/>
                <w:lang w:val="en-US" w:eastAsia="zh-CN"/>
              </w:rPr>
              <w:t>教育</w:t>
            </w:r>
            <w:r>
              <w:rPr>
                <w:rFonts w:hint="eastAsia" w:ascii="仿宋" w:hAnsi="仿宋" w:eastAsia="仿宋" w:cs="仿宋"/>
                <w:sz w:val="32"/>
                <w:szCs w:val="3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委托单位</w:t>
            </w:r>
            <w:r>
              <w:rPr>
                <w:rFonts w:hint="eastAsia" w:ascii="仿宋" w:hAnsi="仿宋" w:eastAsia="仿宋" w:cs="仿宋"/>
                <w:b/>
                <w:bCs/>
                <w:sz w:val="32"/>
                <w:szCs w:val="32"/>
              </w:rPr>
              <w:t>：</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评价</w:t>
            </w:r>
            <w:r>
              <w:rPr>
                <w:rFonts w:hint="eastAsia" w:ascii="仿宋" w:hAnsi="仿宋" w:eastAsia="仿宋" w:cs="仿宋"/>
                <w:b/>
                <w:bCs/>
                <w:sz w:val="32"/>
                <w:szCs w:val="32"/>
              </w:rPr>
              <w:t>机构：</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湖南骏新联合会计师事务所（普通合伙）</w:t>
            </w:r>
          </w:p>
        </w:tc>
      </w:tr>
    </w:tbl>
    <w:p>
      <w:pPr>
        <w:jc w:val="center"/>
        <w:rPr>
          <w:rFonts w:eastAsia="仿宋_GB2312"/>
          <w:sz w:val="32"/>
          <w:szCs w:val="32"/>
          <w:u w:val="single"/>
        </w:rPr>
      </w:pPr>
    </w:p>
    <w:p>
      <w:pPr>
        <w:jc w:val="center"/>
        <w:rPr>
          <w:rFonts w:eastAsia="仿宋_GB2312"/>
          <w:sz w:val="32"/>
          <w:szCs w:val="32"/>
          <w:u w:val="single"/>
        </w:rPr>
      </w:pPr>
    </w:p>
    <w:p>
      <w:pPr>
        <w:ind w:firstLine="321" w:firstLineChars="100"/>
        <w:jc w:val="center"/>
        <w:rPr>
          <w:rFonts w:ascii="仿宋" w:hAnsi="仿宋" w:eastAsia="仿宋" w:cs="仿宋"/>
          <w:b/>
          <w:bCs/>
          <w:sz w:val="32"/>
          <w:szCs w:val="32"/>
        </w:rPr>
      </w:pPr>
    </w:p>
    <w:p>
      <w:pPr>
        <w:ind w:firstLine="321" w:firstLineChars="100"/>
        <w:jc w:val="center"/>
      </w:pPr>
      <w:r>
        <w:rPr>
          <w:rFonts w:hint="eastAsia" w:ascii="仿宋" w:hAnsi="仿宋" w:eastAsia="仿宋" w:cs="仿宋"/>
          <w:b/>
          <w:bCs/>
          <w:sz w:val="32"/>
          <w:szCs w:val="32"/>
        </w:rPr>
        <w:t>二○二</w:t>
      </w:r>
      <w:r>
        <w:rPr>
          <w:rFonts w:hint="eastAsia" w:cs="仿宋"/>
          <w:b/>
          <w:bCs/>
          <w:sz w:val="32"/>
          <w:szCs w:val="32"/>
        </w:rPr>
        <w:t>三</w:t>
      </w:r>
      <w:r>
        <w:rPr>
          <w:rFonts w:hint="eastAsia" w:ascii="仿宋" w:hAnsi="仿宋" w:eastAsia="仿宋" w:cs="仿宋"/>
          <w:b/>
          <w:bCs/>
          <w:sz w:val="32"/>
          <w:szCs w:val="32"/>
        </w:rPr>
        <w:t>年</w:t>
      </w:r>
      <w:r>
        <w:rPr>
          <w:rFonts w:hint="eastAsia" w:cs="仿宋"/>
          <w:b/>
          <w:bCs/>
          <w:color w:val="000000"/>
          <w:sz w:val="32"/>
          <w:szCs w:val="32"/>
        </w:rPr>
        <w:t>十一</w:t>
      </w:r>
      <w:r>
        <w:rPr>
          <w:rFonts w:hint="eastAsia" w:ascii="仿宋" w:hAnsi="仿宋" w:eastAsia="仿宋" w:cs="仿宋"/>
          <w:b/>
          <w:bCs/>
          <w:color w:val="000000"/>
          <w:sz w:val="32"/>
          <w:szCs w:val="32"/>
        </w:rPr>
        <w:t>月</w:t>
      </w:r>
      <w:r>
        <w:rPr>
          <w:rFonts w:hint="eastAsia" w:cs="仿宋"/>
          <w:b/>
          <w:bCs/>
          <w:color w:val="000000"/>
          <w:sz w:val="32"/>
          <w:szCs w:val="32"/>
        </w:rPr>
        <w:t>二十六</w:t>
      </w:r>
      <w:r>
        <w:rPr>
          <w:rFonts w:hint="eastAsia" w:ascii="仿宋" w:hAnsi="仿宋" w:eastAsia="仿宋" w:cs="仿宋"/>
          <w:b/>
          <w:bCs/>
          <w:color w:val="000000"/>
          <w:sz w:val="32"/>
          <w:szCs w:val="32"/>
        </w:rPr>
        <w:t>日</w:t>
      </w:r>
    </w:p>
    <w:bookmarkEnd w:id="0"/>
    <w:p>
      <w:pPr>
        <w:jc w:val="center"/>
        <w:rPr>
          <w:rFonts w:ascii="宋体"/>
          <w:b/>
          <w:bCs/>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jc w:val="center"/>
      </w:pPr>
    </w:p>
    <w:p>
      <w:pPr>
        <w:jc w:val="center"/>
        <w:rPr>
          <w:rFonts w:ascii="宋体"/>
          <w:b/>
          <w:bCs/>
          <w:sz w:val="32"/>
          <w:szCs w:val="32"/>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湘</w:t>
      </w:r>
      <w:r>
        <w:rPr>
          <w:rFonts w:hint="eastAsia" w:ascii="仿宋" w:hAnsi="仿宋" w:eastAsia="仿宋" w:cs="仿宋"/>
          <w:color w:val="000000"/>
          <w:sz w:val="28"/>
          <w:szCs w:val="28"/>
          <w:shd w:val="clear" w:color="auto" w:fill="FFFFFF"/>
        </w:rPr>
        <w:t>骏会绩效评字</w:t>
      </w:r>
      <w:r>
        <w:rPr>
          <w:rFonts w:ascii="仿宋" w:hAnsi="仿宋" w:eastAsia="仿宋" w:cs="仿宋"/>
          <w:color w:val="000000"/>
          <w:sz w:val="28"/>
          <w:szCs w:val="28"/>
          <w:shd w:val="clear" w:color="auto" w:fill="FFFFFF"/>
        </w:rPr>
        <w:t>[</w:t>
      </w:r>
      <w:r>
        <w:rPr>
          <w:rFonts w:hint="eastAsia" w:cs="仿宋"/>
          <w:color w:val="000000"/>
          <w:sz w:val="28"/>
          <w:szCs w:val="28"/>
          <w:shd w:val="clear" w:color="auto" w:fill="FFFFFF"/>
          <w:lang w:eastAsia="zh-CN"/>
        </w:rPr>
        <w:t>202</w:t>
      </w:r>
      <w:r>
        <w:rPr>
          <w:rFonts w:hint="eastAsia" w:cs="仿宋"/>
          <w:color w:val="000000"/>
          <w:sz w:val="28"/>
          <w:szCs w:val="28"/>
          <w:shd w:val="clear" w:color="auto" w:fill="FFFFFF"/>
          <w:lang w:val="en-US" w:eastAsia="zh-CN"/>
        </w:rPr>
        <w:t>3</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rPr>
        <w:t>第</w:t>
      </w:r>
      <w:r>
        <w:rPr>
          <w:rFonts w:hint="eastAsia" w:ascii="仿宋" w:hAnsi="仿宋" w:eastAsia="仿宋" w:cs="仿宋"/>
          <w:color w:val="000000"/>
          <w:sz w:val="28"/>
          <w:szCs w:val="28"/>
          <w:shd w:val="clear" w:color="auto" w:fill="FFFFFF"/>
          <w:lang w:val="en-US" w:eastAsia="zh-CN"/>
        </w:rPr>
        <w:t>028</w:t>
      </w:r>
      <w:r>
        <w:rPr>
          <w:rFonts w:hint="eastAsia" w:ascii="仿宋" w:hAnsi="仿宋" w:eastAsia="仿宋" w:cs="仿宋"/>
          <w:color w:val="000000"/>
          <w:sz w:val="28"/>
          <w:szCs w:val="28"/>
          <w:shd w:val="clear" w:color="auto" w:fill="FFFFFF"/>
        </w:rPr>
        <w:t>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北塔区高撑小学提质改造项目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事前绩效评估报告</w:t>
      </w:r>
    </w:p>
    <w:p>
      <w:pPr>
        <w:keepNext w:val="0"/>
        <w:keepLines w:val="0"/>
        <w:pageBreakBefore w:val="0"/>
        <w:wordWrap/>
        <w:overflowPunct w:val="0"/>
        <w:topLinePunct w:val="0"/>
        <w:bidi w:val="0"/>
        <w:spacing w:line="5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一、评估对象</w:t>
      </w:r>
    </w:p>
    <w:p>
      <w:pPr>
        <w:keepNext w:val="0"/>
        <w:keepLines w:val="0"/>
        <w:pageBreakBefore w:val="0"/>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（一）项目名称</w:t>
      </w:r>
    </w:p>
    <w:p>
      <w:pPr>
        <w:keepNext w:val="0"/>
        <w:keepLines w:val="0"/>
        <w:pageBreakBefore w:val="0"/>
        <w:wordWrap/>
        <w:overflowPunct w:val="0"/>
        <w:topLinePunct w:val="0"/>
        <w:bidi w:val="0"/>
        <w:spacing w:line="540" w:lineRule="exact"/>
        <w:ind w:firstLine="482"/>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北塔区高撑小学提质改造项目</w:t>
      </w:r>
    </w:p>
    <w:p>
      <w:pPr>
        <w:keepNext w:val="0"/>
        <w:keepLines w:val="0"/>
        <w:pageBreakBefore w:val="0"/>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（二）项目绩效目标</w:t>
      </w:r>
    </w:p>
    <w:p>
      <w:pPr>
        <w:keepNext w:val="0"/>
        <w:keepLines w:val="0"/>
        <w:pageBreakBefore w:val="0"/>
        <w:numPr>
          <w:ilvl w:val="0"/>
          <w:numId w:val="0"/>
        </w:numPr>
        <w:wordWrap/>
        <w:overflowPunct w:val="0"/>
        <w:topLinePunct w:val="0"/>
        <w:bidi w:val="0"/>
        <w:spacing w:line="540" w:lineRule="exact"/>
        <w:ind w:firstLine="562" w:firstLineChars="200"/>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1.项目总体目标</w:t>
      </w:r>
    </w:p>
    <w:p>
      <w:pPr>
        <w:keepNext w:val="0"/>
        <w:keepLines w:val="0"/>
        <w:pageBreakBefore w:val="0"/>
        <w:numPr>
          <w:ilvl w:val="0"/>
          <w:numId w:val="0"/>
        </w:numPr>
        <w:wordWrap/>
        <w:overflowPunct w:val="0"/>
        <w:topLinePunct w:val="0"/>
        <w:bidi w:val="0"/>
        <w:spacing w:line="540" w:lineRule="exact"/>
        <w:ind w:firstLine="560" w:firstLineChars="20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旨在</w:t>
      </w:r>
      <w:r>
        <w:rPr>
          <w:rFonts w:hint="eastAsia" w:ascii="仿宋" w:hAnsi="仿宋" w:eastAsia="仿宋" w:cs="仿宋"/>
          <w:color w:val="000000"/>
          <w:kern w:val="0"/>
          <w:sz w:val="28"/>
          <w:szCs w:val="28"/>
          <w:lang w:eastAsia="zh-CN" w:bidi="ar"/>
        </w:rPr>
        <w:t>为邵阳市北塔区高撑小学提高学校硬件设施的质量；改善教学环境；促进学生的全面发展。项目涉及改造高撑小学操场道路、围墙、绿化、校园文化设施、篮球场、宣传栏、厕所以及其他附属设施。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540" w:lineRule="exact"/>
        <w:ind w:leftChars="200" w:right="0" w:rightChars="0"/>
        <w:jc w:val="both"/>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2.项目具体绩效目标</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2110"/>
        <w:gridCol w:w="2120"/>
        <w:gridCol w:w="1946"/>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一级指标</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二级指标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三级指标</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绩效指标值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产出指标</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数量指标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40" w:lineRule="exact"/>
              <w:jc w:val="center"/>
              <w:rPr>
                <w:rFonts w:hint="eastAsia" w:ascii="仿宋" w:hAnsi="仿宋" w:eastAsia="仿宋" w:cs="仿宋"/>
                <w:b/>
                <w:bCs/>
                <w:i w:val="0"/>
                <w:iCs w:val="0"/>
                <w:color w:val="000000"/>
                <w:sz w:val="28"/>
                <w:szCs w:val="28"/>
                <w:u w:val="none"/>
              </w:rPr>
            </w:pP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质量指标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合格率</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40" w:lineRule="exact"/>
              <w:jc w:val="center"/>
              <w:rPr>
                <w:rFonts w:hint="eastAsia" w:ascii="仿宋" w:hAnsi="仿宋" w:eastAsia="仿宋" w:cs="仿宋"/>
                <w:b/>
                <w:bCs/>
                <w:i w:val="0"/>
                <w:iCs w:val="0"/>
                <w:color w:val="000000"/>
                <w:sz w:val="28"/>
                <w:szCs w:val="28"/>
                <w:u w:val="none"/>
              </w:rPr>
            </w:pP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时效指标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工期</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个月</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40" w:lineRule="exact"/>
              <w:jc w:val="center"/>
              <w:rPr>
                <w:rFonts w:hint="eastAsia" w:ascii="仿宋" w:hAnsi="仿宋" w:eastAsia="仿宋" w:cs="仿宋"/>
                <w:b/>
                <w:bCs/>
                <w:i w:val="0"/>
                <w:iCs w:val="0"/>
                <w:color w:val="000000"/>
                <w:sz w:val="28"/>
                <w:szCs w:val="28"/>
                <w:u w:val="none"/>
              </w:rPr>
            </w:pP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成本指标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项目总投资</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效益指标</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经济效益指标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加强基础设施建设</w:t>
            </w:r>
          </w:p>
        </w:tc>
        <w:tc>
          <w:tcPr>
            <w:tcW w:w="1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加强校园文化建设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40" w:lineRule="exact"/>
              <w:jc w:val="center"/>
              <w:rPr>
                <w:rFonts w:hint="eastAsia" w:ascii="仿宋" w:hAnsi="仿宋" w:eastAsia="仿宋" w:cs="仿宋"/>
                <w:b/>
                <w:bCs/>
                <w:i w:val="0"/>
                <w:iCs w:val="0"/>
                <w:color w:val="000000"/>
                <w:sz w:val="28"/>
                <w:szCs w:val="28"/>
                <w:u w:val="none"/>
              </w:rPr>
            </w:pP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社会效益指标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人居环境</w:t>
            </w:r>
          </w:p>
        </w:tc>
        <w:tc>
          <w:tcPr>
            <w:tcW w:w="1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改善校内环境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40" w:lineRule="exact"/>
              <w:jc w:val="center"/>
              <w:rPr>
                <w:rFonts w:hint="eastAsia" w:ascii="仿宋" w:hAnsi="仿宋" w:eastAsia="仿宋" w:cs="仿宋"/>
                <w:b/>
                <w:bCs/>
                <w:i w:val="0"/>
                <w:iCs w:val="0"/>
                <w:color w:val="000000"/>
                <w:sz w:val="28"/>
                <w:szCs w:val="28"/>
                <w:u w:val="none"/>
              </w:rPr>
            </w:pP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生态效益指标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生态环境</w:t>
            </w:r>
          </w:p>
        </w:tc>
        <w:tc>
          <w:tcPr>
            <w:tcW w:w="1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美化生态环境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40" w:lineRule="exact"/>
              <w:jc w:val="center"/>
              <w:rPr>
                <w:rFonts w:hint="eastAsia" w:ascii="仿宋" w:hAnsi="仿宋" w:eastAsia="仿宋" w:cs="仿宋"/>
                <w:b/>
                <w:bCs/>
                <w:i w:val="0"/>
                <w:iCs w:val="0"/>
                <w:color w:val="000000"/>
                <w:sz w:val="28"/>
                <w:szCs w:val="28"/>
                <w:u w:val="none"/>
              </w:rPr>
            </w:pP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可持续影响指标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促进社会和谐发展</w:t>
            </w:r>
          </w:p>
        </w:tc>
        <w:tc>
          <w:tcPr>
            <w:tcW w:w="1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改善基础设施条件,促进社会和</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满意度指标</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社会公众或服务</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对象满意度指标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公众社会满意度</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w:t>
            </w:r>
          </w:p>
        </w:tc>
      </w:tr>
    </w:tbl>
    <w:p>
      <w:pPr>
        <w:keepNext w:val="0"/>
        <w:keepLines w:val="0"/>
        <w:pageBreakBefore w:val="0"/>
        <w:wordWrap/>
        <w:overflowPunct w:val="0"/>
        <w:topLinePunct w:val="0"/>
        <w:bidi w:val="0"/>
        <w:spacing w:line="540" w:lineRule="exact"/>
        <w:ind w:firstLine="482"/>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（三）项目资金构成</w:t>
      </w:r>
    </w:p>
    <w:p>
      <w:pPr>
        <w:keepNext w:val="0"/>
        <w:keepLines w:val="0"/>
        <w:pageBreakBefore w:val="0"/>
        <w:wordWrap/>
        <w:overflowPunct w:val="0"/>
        <w:topLinePunct w:val="0"/>
        <w:bidi w:val="0"/>
        <w:spacing w:line="540" w:lineRule="exact"/>
        <w:ind w:firstLine="482"/>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项目计划投入资金213万元，资金来源于地方财政资金。主要用于原水泥操场和道路改造为沥青混凝土地面、围墙改建、校园绿化、校园文化设施建设、篮球场建设、宣传栏建设、天象厅外墙面翻新、树立形象雕塑10座、教学楼明沟修整、植物修剪、更换下水盖板及其它附属设施维护</w:t>
      </w:r>
      <w:r>
        <w:rPr>
          <w:rFonts w:hint="eastAsia" w:ascii="仿宋" w:hAnsi="仿宋" w:eastAsia="仿宋" w:cs="仿宋"/>
          <w:color w:val="000000"/>
          <w:kern w:val="0"/>
          <w:sz w:val="28"/>
          <w:szCs w:val="28"/>
          <w:lang w:eastAsia="zh-CN" w:bidi="ar"/>
        </w:rPr>
        <w:t>，具体情况如下：</w:t>
      </w:r>
    </w:p>
    <w:tbl>
      <w:tblPr>
        <w:tblStyle w:val="8"/>
        <w:tblW w:w="85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5"/>
        <w:gridCol w:w="1645"/>
        <w:gridCol w:w="3399"/>
        <w:gridCol w:w="1059"/>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85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高撑小学操场、道路、围墙、绿化等项目估算表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项目名称</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面积</w:t>
            </w:r>
            <w:r>
              <w:rPr>
                <w:rStyle w:val="13"/>
                <w:rFonts w:hint="eastAsia" w:ascii="仿宋" w:hAnsi="仿宋" w:eastAsia="仿宋" w:cs="仿宋"/>
                <w:sz w:val="28"/>
                <w:szCs w:val="28"/>
                <w:lang w:val="en-US" w:eastAsia="zh-CN" w:bidi="ar"/>
              </w:rPr>
              <w:br w:type="textWrapping"/>
            </w:r>
            <w:r>
              <w:rPr>
                <w:rStyle w:val="13"/>
                <w:rFonts w:hint="eastAsia" w:ascii="仿宋" w:hAnsi="仿宋" w:eastAsia="仿宋" w:cs="仿宋"/>
                <w:sz w:val="28"/>
                <w:szCs w:val="28"/>
                <w:lang w:val="en-US" w:eastAsia="zh-CN" w:bidi="ar"/>
              </w:rPr>
              <w:t>(</w:t>
            </w:r>
            <w:r>
              <w:rPr>
                <w:rStyle w:val="14"/>
                <w:rFonts w:hint="eastAsia" w:ascii="仿宋" w:hAnsi="仿宋" w:eastAsia="仿宋" w:cs="仿宋"/>
                <w:sz w:val="28"/>
                <w:szCs w:val="28"/>
                <w:lang w:val="en-US" w:eastAsia="zh-CN" w:bidi="ar"/>
              </w:rPr>
              <w:t>㎡</w:t>
            </w:r>
            <w:r>
              <w:rPr>
                <w:rStyle w:val="13"/>
                <w:rFonts w:hint="eastAsia" w:ascii="仿宋" w:hAnsi="仿宋" w:eastAsia="仿宋" w:cs="仿宋"/>
                <w:sz w:val="28"/>
                <w:szCs w:val="2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金额</w:t>
            </w:r>
            <w:r>
              <w:rPr>
                <w:rStyle w:val="13"/>
                <w:rFonts w:hint="eastAsia" w:ascii="仿宋" w:hAnsi="仿宋" w:eastAsia="仿宋" w:cs="仿宋"/>
                <w:sz w:val="28"/>
                <w:szCs w:val="28"/>
                <w:lang w:val="en-US" w:eastAsia="zh-CN" w:bidi="ar"/>
              </w:rPr>
              <w:t>(</w:t>
            </w:r>
            <w:r>
              <w:rPr>
                <w:rStyle w:val="14"/>
                <w:rFonts w:hint="eastAsia" w:ascii="仿宋" w:hAnsi="仿宋" w:eastAsia="仿宋" w:cs="仿宋"/>
                <w:sz w:val="28"/>
                <w:szCs w:val="28"/>
                <w:lang w:val="en-US" w:eastAsia="zh-CN" w:bidi="ar"/>
              </w:rPr>
              <w:t>万</w:t>
            </w:r>
            <w:r>
              <w:rPr>
                <w:rStyle w:val="13"/>
                <w:rFonts w:hint="eastAsia" w:ascii="仿宋" w:hAnsi="仿宋" w:eastAsia="仿宋" w:cs="仿宋"/>
                <w:sz w:val="28"/>
                <w:szCs w:val="28"/>
                <w:lang w:val="en-US" w:eastAsia="zh-CN" w:bidi="ar"/>
              </w:rPr>
              <w:br w:type="textWrapping"/>
            </w:r>
            <w:r>
              <w:rPr>
                <w:rStyle w:val="14"/>
                <w:rFonts w:hint="eastAsia" w:ascii="仿宋" w:hAnsi="仿宋" w:eastAsia="仿宋" w:cs="仿宋"/>
                <w:sz w:val="28"/>
                <w:szCs w:val="28"/>
                <w:lang w:val="en-US" w:eastAsia="zh-CN" w:bidi="ar"/>
              </w:rPr>
              <w:t>元</w:t>
            </w:r>
            <w:r>
              <w:rPr>
                <w:rStyle w:val="13"/>
                <w:rFonts w:hint="eastAsia" w:ascii="仿宋" w:hAnsi="仿宋" w:eastAsia="仿宋" w:cs="仿宋"/>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操场道路</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将水泥操场和校园道路改造为沥青路面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围墙</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将原围墙校内全部粉刷上面加盖琉璃</w:t>
            </w:r>
            <w:r>
              <w:rPr>
                <w:rStyle w:val="15"/>
                <w:rFonts w:hint="eastAsia" w:ascii="仿宋" w:hAnsi="仿宋" w:eastAsia="仿宋" w:cs="仿宋"/>
                <w:sz w:val="28"/>
                <w:szCs w:val="28"/>
                <w:lang w:val="en-US" w:eastAsia="zh-CN" w:bidi="ar"/>
              </w:rPr>
              <w:t>500m</w:t>
            </w:r>
            <w:r>
              <w:rPr>
                <w:rStyle w:val="16"/>
                <w:rFonts w:hint="eastAsia" w:ascii="仿宋" w:hAnsi="仿宋" w:eastAsia="仿宋" w:cs="仿宋"/>
                <w:sz w:val="28"/>
                <w:szCs w:val="28"/>
                <w:lang w:val="en-US" w:eastAsia="zh-CN" w:bidi="ar"/>
              </w:rPr>
              <w:t>人工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40" w:lineRule="exact"/>
              <w:jc w:val="center"/>
              <w:rPr>
                <w:rFonts w:hint="eastAsia" w:ascii="仿宋" w:hAnsi="仿宋" w:eastAsia="仿宋" w:cs="仿宋"/>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40" w:lineRule="exact"/>
              <w:jc w:val="center"/>
              <w:rPr>
                <w:rFonts w:hint="eastAsia" w:ascii="仿宋" w:hAnsi="仿宋" w:eastAsia="仿宋" w:cs="仿宋"/>
                <w:i w:val="0"/>
                <w:iCs w:val="0"/>
                <w:color w:val="000000"/>
                <w:sz w:val="28"/>
                <w:szCs w:val="28"/>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北面围墙加高</w:t>
            </w:r>
            <w:r>
              <w:rPr>
                <w:rStyle w:val="15"/>
                <w:rFonts w:hint="eastAsia" w:ascii="仿宋" w:hAnsi="仿宋" w:eastAsia="仿宋" w:cs="仿宋"/>
                <w:sz w:val="28"/>
                <w:szCs w:val="28"/>
                <w:lang w:val="en-US" w:eastAsia="zh-CN" w:bidi="ar"/>
              </w:rPr>
              <w:t>160x0.5m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40" w:lineRule="exact"/>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绿化</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将原绿化重新布局移栽树木</w:t>
            </w:r>
            <w:r>
              <w:rPr>
                <w:rStyle w:val="15"/>
                <w:rFonts w:hint="eastAsia" w:ascii="仿宋" w:hAnsi="仿宋" w:eastAsia="仿宋" w:cs="仿宋"/>
                <w:sz w:val="28"/>
                <w:szCs w:val="28"/>
                <w:lang w:val="en-US" w:eastAsia="zh-CN" w:bidi="ar"/>
              </w:rPr>
              <w:t>,</w:t>
            </w:r>
            <w:r>
              <w:rPr>
                <w:rStyle w:val="16"/>
                <w:rFonts w:hint="eastAsia" w:ascii="仿宋" w:hAnsi="仿宋" w:eastAsia="仿宋" w:cs="仿宋"/>
                <w:sz w:val="28"/>
                <w:szCs w:val="28"/>
                <w:lang w:val="en-US" w:eastAsia="zh-CN" w:bidi="ar"/>
              </w:rPr>
              <w:t>新建花坛</w:t>
            </w:r>
            <w:r>
              <w:rPr>
                <w:rStyle w:val="15"/>
                <w:rFonts w:hint="eastAsia" w:ascii="仿宋" w:hAnsi="仿宋" w:eastAsia="仿宋" w:cs="仿宋"/>
                <w:sz w:val="28"/>
                <w:szCs w:val="28"/>
                <w:lang w:val="en-US" w:eastAsia="zh-CN" w:bidi="ar"/>
              </w:rPr>
              <w:t>,</w:t>
            </w:r>
            <w:r>
              <w:rPr>
                <w:rStyle w:val="16"/>
                <w:rFonts w:hint="eastAsia" w:ascii="仿宋" w:hAnsi="仿宋" w:eastAsia="仿宋" w:cs="仿宋"/>
                <w:sz w:val="28"/>
                <w:szCs w:val="28"/>
                <w:lang w:val="en-US" w:eastAsia="zh-CN" w:bidi="ar"/>
              </w:rPr>
              <w:t>铺透水砖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校园文化</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设施</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在运动场东面建高清电子屏一块</w:t>
            </w:r>
            <w:r>
              <w:rPr>
                <w:rStyle w:val="15"/>
                <w:rFonts w:hint="eastAsia" w:ascii="仿宋" w:hAnsi="仿宋" w:eastAsia="仿宋" w:cs="仿宋"/>
                <w:sz w:val="28"/>
                <w:szCs w:val="28"/>
                <w:lang w:val="en-US" w:eastAsia="zh-CN" w:bidi="ar"/>
              </w:rPr>
              <w:t>,</w:t>
            </w:r>
            <w:r>
              <w:rPr>
                <w:rStyle w:val="16"/>
                <w:rFonts w:hint="eastAsia" w:ascii="仿宋" w:hAnsi="仿宋" w:eastAsia="仿宋" w:cs="仿宋"/>
                <w:sz w:val="28"/>
                <w:szCs w:val="28"/>
                <w:lang w:val="en-US" w:eastAsia="zh-CN" w:bidi="ar"/>
              </w:rPr>
              <w:t>建舞台一个</w:t>
            </w:r>
            <w:r>
              <w:rPr>
                <w:rStyle w:val="15"/>
                <w:rFonts w:hint="eastAsia" w:ascii="仿宋" w:hAnsi="仿宋" w:eastAsia="仿宋" w:cs="仿宋"/>
                <w:sz w:val="28"/>
                <w:szCs w:val="28"/>
                <w:lang w:val="en-US" w:eastAsia="zh-CN" w:bidi="ar"/>
              </w:rPr>
              <w:t>,</w:t>
            </w:r>
            <w:r>
              <w:rPr>
                <w:rStyle w:val="16"/>
                <w:rFonts w:hint="eastAsia" w:ascii="仿宋" w:hAnsi="仿宋" w:eastAsia="仿宋" w:cs="仿宋"/>
                <w:sz w:val="28"/>
                <w:szCs w:val="28"/>
                <w:lang w:val="en-US" w:eastAsia="zh-CN" w:bidi="ar"/>
              </w:rPr>
              <w:t>钢结构遮阳篷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篮球场</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建篮球场2个(硅PU)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宣传栏</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新建宣传栏12块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厕所改造</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原厕所地老下沉</w:t>
            </w:r>
            <w:r>
              <w:rPr>
                <w:rStyle w:val="15"/>
                <w:rFonts w:hint="eastAsia" w:ascii="仿宋" w:hAnsi="仿宋" w:eastAsia="仿宋" w:cs="仿宋"/>
                <w:sz w:val="28"/>
                <w:szCs w:val="28"/>
                <w:lang w:val="en-US" w:eastAsia="zh-CN" w:bidi="ar"/>
              </w:rPr>
              <w:t>,</w:t>
            </w:r>
            <w:r>
              <w:rPr>
                <w:rStyle w:val="16"/>
                <w:rFonts w:hint="eastAsia" w:ascii="仿宋" w:hAnsi="仿宋" w:eastAsia="仿宋" w:cs="仿宋"/>
                <w:sz w:val="28"/>
                <w:szCs w:val="28"/>
                <w:lang w:val="en-US" w:eastAsia="zh-CN" w:bidi="ar"/>
              </w:rPr>
              <w:t>间墙开裂</w:t>
            </w:r>
            <w:r>
              <w:rPr>
                <w:rStyle w:val="15"/>
                <w:rFonts w:hint="eastAsia" w:ascii="仿宋" w:hAnsi="仿宋" w:eastAsia="仿宋" w:cs="仿宋"/>
                <w:sz w:val="28"/>
                <w:szCs w:val="28"/>
                <w:lang w:val="en-US" w:eastAsia="zh-CN" w:bidi="ar"/>
              </w:rPr>
              <w:t>,</w:t>
            </w:r>
            <w:r>
              <w:rPr>
                <w:rStyle w:val="16"/>
                <w:rFonts w:hint="eastAsia" w:ascii="仿宋" w:hAnsi="仿宋" w:eastAsia="仿宋" w:cs="仿宋"/>
                <w:sz w:val="28"/>
                <w:szCs w:val="28"/>
                <w:lang w:val="en-US" w:eastAsia="zh-CN" w:bidi="ar"/>
              </w:rPr>
              <w:t>需重新维修改造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其他附属</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天象厅拆除</w:t>
            </w:r>
            <w:r>
              <w:rPr>
                <w:rStyle w:val="15"/>
                <w:rFonts w:hint="eastAsia" w:ascii="仿宋" w:hAnsi="仿宋" w:eastAsia="仿宋" w:cs="仿宋"/>
                <w:sz w:val="28"/>
                <w:szCs w:val="28"/>
                <w:lang w:val="en-US" w:eastAsia="zh-CN" w:bidi="ar"/>
              </w:rPr>
              <w:t>,</w:t>
            </w:r>
            <w:r>
              <w:rPr>
                <w:rStyle w:val="16"/>
                <w:rFonts w:hint="eastAsia" w:ascii="仿宋" w:hAnsi="仿宋" w:eastAsia="仿宋" w:cs="仿宋"/>
                <w:sz w:val="28"/>
                <w:szCs w:val="28"/>
                <w:lang w:val="en-US" w:eastAsia="zh-CN" w:bidi="ar"/>
              </w:rPr>
              <w:t>教学楼明沟整修</w:t>
            </w:r>
            <w:r>
              <w:rPr>
                <w:rStyle w:val="15"/>
                <w:rFonts w:hint="eastAsia" w:ascii="仿宋" w:hAnsi="仿宋" w:eastAsia="仿宋" w:cs="仿宋"/>
                <w:sz w:val="28"/>
                <w:szCs w:val="28"/>
                <w:lang w:val="en-US" w:eastAsia="zh-CN" w:bidi="ar"/>
              </w:rPr>
              <w:t>,</w:t>
            </w:r>
            <w:r>
              <w:rPr>
                <w:rStyle w:val="16"/>
                <w:rFonts w:hint="eastAsia" w:ascii="仿宋" w:hAnsi="仿宋" w:eastAsia="仿宋" w:cs="仿宋"/>
                <w:sz w:val="28"/>
                <w:szCs w:val="28"/>
                <w:lang w:val="en-US" w:eastAsia="zh-CN" w:bidi="ar"/>
              </w:rPr>
              <w:t>更换下水盖板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40" w:lineRule="exact"/>
              <w:jc w:val="center"/>
              <w:rPr>
                <w:rFonts w:hint="eastAsia" w:ascii="仿宋" w:hAnsi="仿宋" w:eastAsia="仿宋" w:cs="仿宋"/>
                <w:i w:val="0"/>
                <w:iCs w:val="0"/>
                <w:color w:val="000000"/>
                <w:sz w:val="28"/>
                <w:szCs w:val="28"/>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40" w:lineRule="exact"/>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bidi w:val="0"/>
              <w:spacing w:line="540" w:lineRule="exact"/>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213</w:t>
            </w:r>
          </w:p>
        </w:tc>
      </w:tr>
    </w:tbl>
    <w:p>
      <w:pPr>
        <w:keepNext w:val="0"/>
        <w:keepLines w:val="0"/>
        <w:pageBreakBefore w:val="0"/>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（四）项目概况</w:t>
      </w:r>
    </w:p>
    <w:p>
      <w:pPr>
        <w:keepNext w:val="0"/>
        <w:keepLines w:val="0"/>
        <w:pageBreakBefore w:val="0"/>
        <w:wordWrap/>
        <w:overflowPunct w:val="0"/>
        <w:topLinePunct w:val="0"/>
        <w:bidi w:val="0"/>
        <w:spacing w:line="540" w:lineRule="exact"/>
        <w:ind w:firstLine="482"/>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高撑小学由原高撑、柘木、丰江三所完全小学于2001年合并建成，地址位于邵阳市北塔区田江乡高撑社区。多年来，学校基础设施一直未进行维修改造。学校原操场由于年久失修，地面已经破损严重、高低不平；围墙墙面腐朽不堪，局部出现倾斜现象，存在安全隐患；学校大门由西边主路旁改至南面，道路及绿化需重新进行规划布局。为提高学校硬件设施的质量，完善学校功能设施，提升教育教学品质，让学生全面发展，需对学校进行改造工程。</w:t>
      </w:r>
    </w:p>
    <w:p>
      <w:pPr>
        <w:keepNext w:val="0"/>
        <w:keepLines w:val="0"/>
        <w:pageBreakBefore w:val="0"/>
        <w:numPr>
          <w:ilvl w:val="0"/>
          <w:numId w:val="0"/>
        </w:numPr>
        <w:wordWrap/>
        <w:overflowPunct w:val="0"/>
        <w:topLinePunct w:val="0"/>
        <w:bidi w:val="0"/>
        <w:spacing w:line="540" w:lineRule="exact"/>
        <w:ind w:firstLine="560" w:firstLineChars="20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工程计划建设工期为2个月，高撑小学针对施工安全设立了安全责任人，严格执行安全操作规程，保障施工期间的安全问题。项目完工后，由高撑小学和北塔区教育局负责督察与验收。</w:t>
      </w:r>
    </w:p>
    <w:p>
      <w:pPr>
        <w:keepNext w:val="0"/>
        <w:keepLines w:val="0"/>
        <w:pageBreakBefore w:val="0"/>
        <w:wordWrap/>
        <w:overflowPunct w:val="0"/>
        <w:topLinePunct w:val="0"/>
        <w:bidi w:val="0"/>
        <w:spacing w:line="540" w:lineRule="exact"/>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二、事前绩效评估的基本情况</w:t>
      </w:r>
    </w:p>
    <w:p>
      <w:pPr>
        <w:keepNext w:val="0"/>
        <w:keepLines w:val="0"/>
        <w:pageBreakBefore w:val="0"/>
        <w:kinsoku/>
        <w:wordWrap/>
        <w:overflowPunct w:val="0"/>
        <w:topLinePunct w:val="0"/>
        <w:autoSpaceDE/>
        <w:autoSpaceDN/>
        <w:bidi w:val="0"/>
        <w:adjustRightInd/>
        <w:snapToGrid/>
        <w:spacing w:line="540" w:lineRule="exact"/>
        <w:ind w:lef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（一）评估程序</w:t>
      </w:r>
    </w:p>
    <w:p>
      <w:pPr>
        <w:keepNext w:val="0"/>
        <w:keepLines w:val="0"/>
        <w:pageBreakBefore w:val="0"/>
        <w:widowControl w:val="0"/>
        <w:kinsoku/>
        <w:wordWrap/>
        <w:overflowPunct/>
        <w:topLinePunct w:val="0"/>
        <w:autoSpaceDE/>
        <w:autoSpaceDN/>
        <w:bidi w:val="0"/>
        <w:adjustRightInd/>
        <w:snapToGrid/>
        <w:spacing w:line="540" w:lineRule="exact"/>
        <w:ind w:lef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1、准备阶段</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①确定评估对象。根据部门职能，按照中央和省委、省政府决策部署，依据年度预算编制管理的有关要求，县财政局绩效股拟定事前绩效评估项目，受托的第三方机构进一步确定评估对象、评估方式、评估依据和评估内容，制定具体工作计划。 </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②成立评估组织。成立</w:t>
      </w:r>
      <w:r>
        <w:rPr>
          <w:rFonts w:hint="eastAsia" w:ascii="仿宋" w:hAnsi="仿宋" w:eastAsia="仿宋" w:cs="仿宋"/>
          <w:sz w:val="28"/>
          <w:szCs w:val="28"/>
          <w:lang w:val="en-US" w:eastAsia="zh-CN"/>
        </w:rPr>
        <w:t>事前绩效</w:t>
      </w:r>
      <w:r>
        <w:rPr>
          <w:rFonts w:hint="eastAsia" w:ascii="仿宋" w:hAnsi="仿宋" w:eastAsia="仿宋" w:cs="仿宋"/>
          <w:sz w:val="28"/>
          <w:szCs w:val="28"/>
        </w:rPr>
        <w:t>评估组，确定评估工作人员，明确责任和任务。</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③制定评估方案。</w:t>
      </w:r>
      <w:r>
        <w:rPr>
          <w:rFonts w:hint="eastAsia" w:ascii="仿宋" w:hAnsi="仿宋" w:eastAsia="仿宋" w:cs="仿宋"/>
          <w:sz w:val="28"/>
          <w:szCs w:val="28"/>
          <w:lang w:val="en-US" w:eastAsia="zh-CN"/>
        </w:rPr>
        <w:t>根据评估任务制定评估方案，明确评估目的、内容、时间安排和工作要求等具体事项</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2、实施阶段</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①资料收集与审核。全面收集与被评估政策和项目有关的数据和资料，并进行审核与分析。</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②开展</w:t>
      </w:r>
      <w:r>
        <w:rPr>
          <w:rFonts w:hint="eastAsia" w:ascii="仿宋" w:hAnsi="仿宋" w:eastAsia="仿宋" w:cs="仿宋"/>
          <w:sz w:val="28"/>
          <w:szCs w:val="28"/>
          <w:lang w:val="en-US" w:eastAsia="zh-CN"/>
        </w:rPr>
        <w:t>非</w:t>
      </w:r>
      <w:r>
        <w:rPr>
          <w:rFonts w:hint="eastAsia" w:ascii="仿宋" w:hAnsi="仿宋" w:eastAsia="仿宋" w:cs="仿宋"/>
          <w:sz w:val="28"/>
          <w:szCs w:val="28"/>
        </w:rPr>
        <w:t>现场评估。评估组对有关资料进行分类、整理与分析，提出评估意见。</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③综合评估。评估组选择因素分析、公众评判等方法，对照评估方案中内容，对政策和项目立项必要性、投入经济性、绩效目标合理性、实施方案可行性、筹资合规性等情况进行综合评判。</w:t>
      </w:r>
    </w:p>
    <w:p>
      <w:pPr>
        <w:keepNext w:val="0"/>
        <w:keepLines w:val="0"/>
        <w:pageBreakBefore w:val="0"/>
        <w:widowControl w:val="0"/>
        <w:kinsoku/>
        <w:wordWrap/>
        <w:overflowPunct/>
        <w:topLinePunct w:val="0"/>
        <w:autoSpaceDE/>
        <w:autoSpaceDN/>
        <w:bidi w:val="0"/>
        <w:adjustRightInd/>
        <w:snapToGrid/>
        <w:spacing w:line="540" w:lineRule="exact"/>
        <w:ind w:lef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3、报告阶段</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按照规定的文本格式和要求撰写事前绩效评估报告，报告内容包括介绍评估对象的基本情况、评估采用的主要方法、评估的主要内容及结论、相关建议及有关问题的说明等。</w:t>
      </w:r>
    </w:p>
    <w:p>
      <w:pPr>
        <w:keepNext w:val="0"/>
        <w:keepLines w:val="0"/>
        <w:pageBreakBefore w:val="0"/>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（二）评估思路</w:t>
      </w:r>
    </w:p>
    <w:p>
      <w:pPr>
        <w:keepNext w:val="0"/>
        <w:keepLines w:val="0"/>
        <w:pageBreakBefore w:val="0"/>
        <w:wordWrap/>
        <w:overflowPunct w:val="0"/>
        <w:topLinePunct w:val="0"/>
        <w:bidi w:val="0"/>
        <w:spacing w:line="540" w:lineRule="exact"/>
        <w:ind w:firstLine="482"/>
        <w:rPr>
          <w:rFonts w:hint="eastAsia" w:ascii="仿宋" w:hAnsi="仿宋" w:eastAsia="仿宋" w:cs="仿宋"/>
          <w:sz w:val="28"/>
          <w:szCs w:val="28"/>
          <w:lang w:eastAsia="zh-CN"/>
        </w:rPr>
      </w:pPr>
      <w:r>
        <w:rPr>
          <w:rFonts w:hint="eastAsia" w:ascii="仿宋" w:hAnsi="仿宋" w:eastAsia="仿宋" w:cs="仿宋"/>
          <w:sz w:val="28"/>
          <w:szCs w:val="28"/>
        </w:rPr>
        <w:t>本次</w:t>
      </w:r>
      <w:r>
        <w:rPr>
          <w:rFonts w:hint="eastAsia" w:ascii="仿宋" w:hAnsi="仿宋" w:eastAsia="仿宋" w:cs="仿宋"/>
          <w:sz w:val="28"/>
          <w:szCs w:val="28"/>
          <w:lang w:val="en-US" w:eastAsia="zh-CN"/>
        </w:rPr>
        <w:t>事前绩效</w:t>
      </w:r>
      <w:r>
        <w:rPr>
          <w:rFonts w:hint="eastAsia" w:ascii="仿宋" w:hAnsi="仿宋" w:eastAsia="仿宋" w:cs="仿宋"/>
          <w:sz w:val="28"/>
          <w:szCs w:val="28"/>
        </w:rPr>
        <w:t>评估主要依据《中共中央国务院关于全面实施预算绩效管理的意见》（中发〔2018〕34号）</w:t>
      </w:r>
      <w:r>
        <w:rPr>
          <w:rFonts w:hint="eastAsia" w:ascii="仿宋" w:hAnsi="仿宋" w:eastAsia="仿宋" w:cs="仿宋"/>
          <w:sz w:val="28"/>
          <w:szCs w:val="28"/>
          <w:lang w:eastAsia="zh-CN"/>
        </w:rPr>
        <w:t>、</w:t>
      </w:r>
      <w:r>
        <w:rPr>
          <w:rFonts w:hint="eastAsia" w:ascii="仿宋" w:hAnsi="仿宋" w:eastAsia="仿宋" w:cs="仿宋"/>
          <w:sz w:val="28"/>
          <w:szCs w:val="28"/>
        </w:rPr>
        <w:t>《中共湖南省委办公厅湖南省人民政府办公厅关于全面实施预算绩效管理的实施意见》（湘办发〔2019〕10号）</w:t>
      </w:r>
      <w:r>
        <w:rPr>
          <w:rFonts w:hint="eastAsia" w:ascii="仿宋" w:hAnsi="仿宋" w:eastAsia="仿宋" w:cs="仿宋"/>
          <w:sz w:val="28"/>
          <w:szCs w:val="28"/>
          <w:lang w:val="en-US" w:eastAsia="zh-CN"/>
        </w:rPr>
        <w:t>和湖南</w:t>
      </w:r>
      <w:r>
        <w:rPr>
          <w:rFonts w:hint="eastAsia" w:ascii="仿宋" w:hAnsi="仿宋" w:eastAsia="仿宋" w:cs="仿宋"/>
          <w:sz w:val="28"/>
          <w:szCs w:val="28"/>
        </w:rPr>
        <w:t>省财政厅印发的《</w:t>
      </w:r>
      <w:r>
        <w:rPr>
          <w:rFonts w:hint="eastAsia" w:ascii="仿宋" w:hAnsi="仿宋" w:eastAsia="仿宋" w:cs="仿宋"/>
          <w:sz w:val="28"/>
          <w:szCs w:val="28"/>
          <w:lang w:val="en-US" w:eastAsia="zh-CN"/>
        </w:rPr>
        <w:t>湖南</w:t>
      </w:r>
      <w:r>
        <w:rPr>
          <w:rFonts w:hint="eastAsia" w:ascii="仿宋" w:hAnsi="仿宋" w:eastAsia="仿宋" w:cs="仿宋"/>
          <w:sz w:val="28"/>
          <w:szCs w:val="28"/>
        </w:rPr>
        <w:t>省省级</w:t>
      </w:r>
      <w:r>
        <w:rPr>
          <w:rFonts w:hint="eastAsia" w:ascii="仿宋" w:hAnsi="仿宋" w:eastAsia="仿宋" w:cs="仿宋"/>
          <w:sz w:val="28"/>
          <w:szCs w:val="28"/>
          <w:lang w:val="en-US" w:eastAsia="zh-CN"/>
        </w:rPr>
        <w:t>预算事前绩效评估管理暂行办法</w:t>
      </w:r>
      <w:r>
        <w:rPr>
          <w:rFonts w:hint="eastAsia" w:ascii="仿宋" w:hAnsi="仿宋" w:eastAsia="仿宋" w:cs="仿宋"/>
          <w:sz w:val="28"/>
          <w:szCs w:val="28"/>
        </w:rPr>
        <w:t>》</w:t>
      </w:r>
      <w:r>
        <w:rPr>
          <w:rFonts w:hint="eastAsia" w:ascii="仿宋" w:hAnsi="仿宋" w:eastAsia="仿宋" w:cs="仿宋"/>
          <w:sz w:val="28"/>
          <w:szCs w:val="28"/>
          <w:lang w:val="en-US" w:eastAsia="zh-CN"/>
        </w:rPr>
        <w:t>等相关规定</w:t>
      </w:r>
      <w:r>
        <w:rPr>
          <w:rFonts w:hint="eastAsia" w:ascii="仿宋" w:hAnsi="仿宋" w:eastAsia="仿宋" w:cs="仿宋"/>
          <w:sz w:val="28"/>
          <w:szCs w:val="28"/>
        </w:rPr>
        <w:t>执行，运</w:t>
      </w:r>
      <w:r>
        <w:rPr>
          <w:rFonts w:hint="eastAsia" w:ascii="仿宋" w:hAnsi="仿宋" w:eastAsia="仿宋" w:cs="仿宋"/>
          <w:sz w:val="28"/>
          <w:szCs w:val="28"/>
          <w:lang w:val="en-US" w:eastAsia="zh-CN"/>
        </w:rPr>
        <w:t>用</w:t>
      </w:r>
      <w:r>
        <w:rPr>
          <w:rFonts w:hint="eastAsia" w:ascii="仿宋" w:hAnsi="仿宋" w:eastAsia="仿宋" w:cs="仿宋"/>
          <w:sz w:val="28"/>
          <w:szCs w:val="28"/>
        </w:rPr>
        <w:t>科学、合理的评估方法，对政策或项目立项必要性、投入经济性、绩效目标合理性、实施方案可行性、筹资和规定等进行客观、公正的评估</w:t>
      </w:r>
      <w:r>
        <w:rPr>
          <w:rFonts w:hint="eastAsia" w:ascii="仿宋" w:hAnsi="仿宋" w:eastAsia="仿宋" w:cs="仿宋"/>
          <w:sz w:val="28"/>
          <w:szCs w:val="28"/>
          <w:lang w:eastAsia="zh-CN"/>
        </w:rPr>
        <w:t>。</w:t>
      </w:r>
    </w:p>
    <w:p>
      <w:pPr>
        <w:keepNext w:val="0"/>
        <w:keepLines w:val="0"/>
        <w:pageBreakBefore w:val="0"/>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（三）评估方式、方法</w:t>
      </w:r>
    </w:p>
    <w:p>
      <w:pPr>
        <w:keepNext w:val="0"/>
        <w:keepLines w:val="0"/>
        <w:pageBreakBefore w:val="0"/>
        <w:wordWrap/>
        <w:overflowPunct w:val="0"/>
        <w:topLinePunct w:val="0"/>
        <w:bidi w:val="0"/>
        <w:spacing w:line="540" w:lineRule="exact"/>
        <w:ind w:firstLine="482"/>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本项目的建设有利于</w:t>
      </w:r>
      <w:r>
        <w:rPr>
          <w:rFonts w:hint="eastAsia" w:ascii="仿宋" w:hAnsi="仿宋" w:eastAsia="仿宋" w:cs="仿宋"/>
          <w:color w:val="000000"/>
          <w:kern w:val="0"/>
          <w:sz w:val="28"/>
          <w:szCs w:val="28"/>
          <w:lang w:eastAsia="zh-CN" w:bidi="ar"/>
        </w:rPr>
        <w:t>提高学校硬件设施的质量；改善教师教学环境；为学生提供更好的学习和生活条件，受益对象为全校师生。</w:t>
      </w:r>
      <w:r>
        <w:rPr>
          <w:rFonts w:hint="eastAsia" w:ascii="仿宋" w:hAnsi="仿宋" w:eastAsia="仿宋" w:cs="仿宋"/>
          <w:color w:val="000000"/>
          <w:kern w:val="0"/>
          <w:sz w:val="28"/>
          <w:szCs w:val="28"/>
          <w:lang w:val="en-US" w:eastAsia="zh-CN" w:bidi="ar"/>
        </w:rPr>
        <w:t>因此</w:t>
      </w: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采用问卷调查的方式，向评估</w:t>
      </w:r>
      <w:r>
        <w:rPr>
          <w:rFonts w:hint="eastAsia" w:ascii="仿宋" w:hAnsi="仿宋" w:eastAsia="仿宋" w:cs="仿宋"/>
          <w:color w:val="000000"/>
          <w:kern w:val="0"/>
          <w:sz w:val="28"/>
          <w:szCs w:val="28"/>
          <w:lang w:eastAsia="zh-CN" w:bidi="ar"/>
        </w:rPr>
        <w:t>项目</w:t>
      </w:r>
      <w:r>
        <w:rPr>
          <w:rFonts w:hint="eastAsia" w:ascii="仿宋" w:hAnsi="仿宋" w:eastAsia="仿宋" w:cs="仿宋"/>
          <w:color w:val="000000"/>
          <w:kern w:val="0"/>
          <w:sz w:val="28"/>
          <w:szCs w:val="28"/>
          <w:lang w:val="en-US" w:eastAsia="zh-CN" w:bidi="ar"/>
        </w:rPr>
        <w:t>利益相关方了解情况以及征询意见。本次事前评估方法按照规范的程序，采用因素分析法、公众评判法、文献法等评估方法科学开展。</w:t>
      </w:r>
    </w:p>
    <w:p>
      <w:pPr>
        <w:keepNext w:val="0"/>
        <w:keepLines w:val="0"/>
        <w:pageBreakBefore w:val="0"/>
        <w:wordWrap/>
        <w:overflowPunct w:val="0"/>
        <w:topLinePunct w:val="0"/>
        <w:bidi w:val="0"/>
        <w:spacing w:line="5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三、评估内容与结论</w:t>
      </w:r>
    </w:p>
    <w:p>
      <w:pPr>
        <w:keepNext w:val="0"/>
        <w:keepLines w:val="0"/>
        <w:pageBreakBefore w:val="0"/>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（一）立项必要性</w:t>
      </w:r>
    </w:p>
    <w:p>
      <w:pPr>
        <w:keepNext w:val="0"/>
        <w:keepLines w:val="0"/>
        <w:pageBreakBefore w:val="0"/>
        <w:widowControl w:val="0"/>
        <w:suppressLineNumbers w:val="0"/>
        <w:wordWrap/>
        <w:overflowPunct w:val="0"/>
        <w:topLinePunct w:val="0"/>
        <w:bidi w:val="0"/>
        <w:spacing w:before="0" w:beforeAutospacing="0" w:after="0" w:afterAutospacing="0" w:line="540" w:lineRule="exact"/>
        <w:ind w:left="0" w:right="0" w:firstLine="482"/>
        <w:jc w:val="both"/>
        <w:rPr>
          <w:rFonts w:hint="eastAsia" w:ascii="仿宋" w:hAnsi="仿宋" w:eastAsia="仿宋" w:cs="仿宋"/>
          <w:b/>
          <w:bCs/>
          <w:color w:val="000000"/>
          <w:kern w:val="0"/>
          <w:sz w:val="28"/>
          <w:szCs w:val="28"/>
          <w:lang w:val="en-US" w:eastAsia="zh-CN" w:bidi="ar"/>
        </w:rPr>
      </w:pPr>
      <w:r>
        <w:rPr>
          <w:rFonts w:hint="eastAsia" w:ascii="仿宋" w:hAnsi="仿宋" w:eastAsia="仿宋" w:cs="仿宋"/>
          <w:color w:val="000000"/>
          <w:kern w:val="0"/>
          <w:sz w:val="28"/>
          <w:szCs w:val="28"/>
          <w:lang w:eastAsia="zh-CN" w:bidi="ar"/>
        </w:rPr>
        <w:t>小学教育是国家教育体系的重要组成部分，是国家高等教育的基础。邵阳市北塔区高撑小学提质改造项目以提高教育教学质量为主线，优化学校建设，为学校师生打造一个更安全、舒适的学习生活环境。项目的建设有利于推进北塔区义务教育事业的发展，符合国家对教育事业发展的支持，是教育局年度重点工作任务之一，</w:t>
      </w:r>
      <w:r>
        <w:rPr>
          <w:rFonts w:hint="eastAsia" w:ascii="仿宋" w:hAnsi="仿宋" w:eastAsia="仿宋" w:cs="仿宋"/>
          <w:color w:val="000000"/>
          <w:kern w:val="0"/>
          <w:sz w:val="28"/>
          <w:szCs w:val="28"/>
          <w:lang w:val="en-US" w:eastAsia="zh-CN" w:bidi="ar"/>
        </w:rPr>
        <w:t>属于公共财政支持范围。</w:t>
      </w:r>
    </w:p>
    <w:p>
      <w:pPr>
        <w:keepNext w:val="0"/>
        <w:keepLines w:val="0"/>
        <w:pageBreakBefore w:val="0"/>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（二）绩效目标合理性</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b w:val="0"/>
          <w:bCs w:val="0"/>
          <w:color w:val="000000"/>
          <w:kern w:val="0"/>
          <w:sz w:val="28"/>
          <w:szCs w:val="28"/>
          <w:lang w:eastAsia="zh-CN" w:bidi="ar"/>
        </w:rPr>
      </w:pPr>
      <w:r>
        <w:rPr>
          <w:rFonts w:hint="eastAsia" w:ascii="仿宋" w:hAnsi="仿宋" w:eastAsia="仿宋" w:cs="仿宋"/>
          <w:b w:val="0"/>
          <w:bCs w:val="0"/>
          <w:color w:val="000000"/>
          <w:kern w:val="0"/>
          <w:sz w:val="28"/>
          <w:szCs w:val="28"/>
          <w:lang w:eastAsia="zh-CN" w:bidi="ar"/>
        </w:rPr>
        <w:t>项目建设与学校的使用需求相关，项目涉及路面改造、围墙改建、校园绿化、篮球场建设以及校园文化设施建设，改善了学校基础设施条件。项目建成后美化了高撑小学的教学环境，提高学校的教学质量。</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项目有绩效目标，含有预期的产出及效益指标</w:t>
      </w:r>
      <w:bookmarkStart w:id="1" w:name="_Hlk53502147"/>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绩效目标与预计解决的问题、现实需要相对匹配。</w:t>
      </w:r>
      <w:bookmarkEnd w:id="1"/>
    </w:p>
    <w:p>
      <w:pPr>
        <w:keepNext w:val="0"/>
        <w:keepLines w:val="0"/>
        <w:pageBreakBefore w:val="0"/>
        <w:widowControl/>
        <w:suppressLineNumbers w:val="0"/>
        <w:kinsoku/>
        <w:wordWrap/>
        <w:topLinePunct w:val="0"/>
        <w:autoSpaceDE/>
        <w:autoSpaceDN/>
        <w:bidi w:val="0"/>
        <w:adjustRightInd/>
        <w:snapToGrid/>
        <w:spacing w:line="54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但存在以下问题：</w:t>
      </w:r>
      <w:r>
        <w:rPr>
          <w:rFonts w:hint="eastAsia" w:ascii="仿宋" w:hAnsi="仿宋" w:eastAsia="仿宋" w:cs="仿宋"/>
          <w:color w:val="000000"/>
          <w:kern w:val="0"/>
          <w:sz w:val="28"/>
          <w:szCs w:val="28"/>
          <w:lang w:val="en-US" w:eastAsia="zh-CN" w:bidi="ar"/>
        </w:rPr>
        <w:t>绩效目标明确性不高；绩效指标不够细化、量化，如项目</w:t>
      </w:r>
      <w:r>
        <w:rPr>
          <w:rFonts w:hint="eastAsia" w:ascii="仿宋" w:hAnsi="仿宋" w:eastAsia="仿宋" w:cs="仿宋"/>
          <w:color w:val="000000"/>
          <w:kern w:val="0"/>
          <w:sz w:val="28"/>
          <w:szCs w:val="28"/>
          <w:lang w:eastAsia="zh-CN" w:bidi="ar"/>
        </w:rPr>
        <w:t>数量指标</w:t>
      </w:r>
      <w:r>
        <w:rPr>
          <w:rFonts w:hint="eastAsia" w:ascii="仿宋" w:hAnsi="仿宋" w:eastAsia="仿宋" w:cs="仿宋"/>
          <w:color w:val="000000"/>
          <w:kern w:val="0"/>
          <w:sz w:val="28"/>
          <w:szCs w:val="28"/>
          <w:lang w:val="en-US" w:eastAsia="zh-CN" w:bidi="ar"/>
        </w:rPr>
        <w:t>不够具体、细化</w:t>
      </w:r>
      <w:r>
        <w:rPr>
          <w:rFonts w:hint="eastAsia" w:ascii="仿宋" w:hAnsi="仿宋" w:eastAsia="仿宋" w:cs="仿宋"/>
          <w:color w:val="000000"/>
          <w:kern w:val="0"/>
          <w:sz w:val="28"/>
          <w:szCs w:val="28"/>
          <w:lang w:eastAsia="zh-CN" w:bidi="ar"/>
        </w:rPr>
        <w:t>，时效指标不够合理。</w:t>
      </w:r>
    </w:p>
    <w:p>
      <w:pPr>
        <w:keepNext w:val="0"/>
        <w:keepLines w:val="0"/>
        <w:pageBreakBefore w:val="0"/>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（三）投入经济性</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eastAsia="zh-CN" w:bidi="ar"/>
        </w:rPr>
        <w:t>1.</w:t>
      </w:r>
      <w:r>
        <w:rPr>
          <w:rFonts w:hint="eastAsia" w:ascii="仿宋" w:hAnsi="仿宋" w:eastAsia="仿宋" w:cs="仿宋"/>
          <w:b/>
          <w:bCs/>
          <w:color w:val="000000"/>
          <w:kern w:val="0"/>
          <w:sz w:val="28"/>
          <w:szCs w:val="28"/>
          <w:lang w:val="en-US" w:eastAsia="zh-CN" w:bidi="ar"/>
        </w:rPr>
        <w:t xml:space="preserve">概算编制科学性 </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本项目建设未</w:t>
      </w:r>
      <w:r>
        <w:rPr>
          <w:rFonts w:hint="eastAsia" w:ascii="仿宋" w:hAnsi="仿宋" w:eastAsia="仿宋" w:cs="仿宋"/>
          <w:color w:val="000000"/>
          <w:kern w:val="0"/>
          <w:sz w:val="28"/>
          <w:szCs w:val="28"/>
          <w:lang w:val="en-US" w:eastAsia="zh-CN" w:bidi="ar"/>
        </w:rPr>
        <w:t>出具</w:t>
      </w:r>
      <w:r>
        <w:rPr>
          <w:rFonts w:hint="eastAsia" w:ascii="仿宋" w:hAnsi="仿宋" w:eastAsia="仿宋" w:cs="仿宋"/>
          <w:color w:val="000000"/>
          <w:kern w:val="0"/>
          <w:sz w:val="28"/>
          <w:szCs w:val="28"/>
          <w:lang w:eastAsia="zh-CN" w:bidi="ar"/>
        </w:rPr>
        <w:t>具体的</w:t>
      </w:r>
      <w:r>
        <w:rPr>
          <w:rFonts w:hint="eastAsia" w:ascii="仿宋" w:hAnsi="仿宋" w:eastAsia="仿宋" w:cs="仿宋"/>
          <w:color w:val="000000"/>
          <w:kern w:val="0"/>
          <w:sz w:val="28"/>
          <w:szCs w:val="28"/>
          <w:lang w:val="en-US" w:eastAsia="zh-CN" w:bidi="ar"/>
        </w:rPr>
        <w:t>工程量清单和项目预算明细表，</w:t>
      </w:r>
      <w:r>
        <w:rPr>
          <w:rFonts w:hint="eastAsia" w:ascii="仿宋" w:hAnsi="仿宋" w:eastAsia="仿宋" w:cs="仿宋"/>
          <w:color w:val="000000"/>
          <w:kern w:val="0"/>
          <w:sz w:val="28"/>
          <w:szCs w:val="28"/>
          <w:lang w:eastAsia="zh-CN" w:bidi="ar"/>
        </w:rPr>
        <w:t>无相应的</w:t>
      </w:r>
      <w:r>
        <w:rPr>
          <w:rFonts w:hint="eastAsia" w:ascii="仿宋" w:hAnsi="仿宋" w:eastAsia="仿宋" w:cs="仿宋"/>
          <w:color w:val="000000"/>
          <w:kern w:val="0"/>
          <w:sz w:val="28"/>
          <w:szCs w:val="28"/>
          <w:lang w:val="en-US" w:eastAsia="zh-CN" w:bidi="ar"/>
        </w:rPr>
        <w:t>概算编制</w:t>
      </w:r>
      <w:r>
        <w:rPr>
          <w:rFonts w:hint="eastAsia" w:ascii="仿宋" w:hAnsi="仿宋" w:eastAsia="仿宋" w:cs="仿宋"/>
          <w:color w:val="000000"/>
          <w:kern w:val="0"/>
          <w:sz w:val="28"/>
          <w:szCs w:val="28"/>
          <w:lang w:eastAsia="zh-CN" w:bidi="ar"/>
        </w:rPr>
        <w:t>；项目改造资金</w:t>
      </w:r>
      <w:r>
        <w:rPr>
          <w:rFonts w:hint="eastAsia" w:ascii="仿宋" w:hAnsi="仿宋" w:eastAsia="仿宋" w:cs="仿宋"/>
          <w:color w:val="000000"/>
          <w:kern w:val="0"/>
          <w:sz w:val="28"/>
          <w:szCs w:val="28"/>
          <w:lang w:val="en-US" w:eastAsia="zh-CN" w:bidi="ar"/>
        </w:rPr>
        <w:t>测算依据不够充分。</w:t>
      </w:r>
    </w:p>
    <w:p>
      <w:pPr>
        <w:keepNext w:val="0"/>
        <w:keepLines w:val="0"/>
        <w:pageBreakBefore w:val="0"/>
        <w:widowControl/>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40" w:lineRule="exact"/>
        <w:ind w:left="0" w:leftChars="0" w:right="0" w:rightChars="0" w:firstLine="562" w:firstLineChars="200"/>
        <w:jc w:val="left"/>
        <w:textAlignment w:val="baseline"/>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2.项目成本控制措施有效性</w:t>
      </w:r>
    </w:p>
    <w:p>
      <w:pPr>
        <w:keepNext w:val="0"/>
        <w:keepLines w:val="0"/>
        <w:pageBreakBefore w:val="0"/>
        <w:widowControl/>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40" w:lineRule="exact"/>
        <w:ind w:left="0" w:leftChars="0" w:right="0" w:rightChars="0" w:firstLine="560" w:firstLineChars="200"/>
        <w:jc w:val="left"/>
        <w:textAlignment w:val="baseline"/>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val="en-US" w:eastAsia="zh-CN" w:bidi="ar"/>
        </w:rPr>
        <w:t>项目由</w:t>
      </w:r>
      <w:r>
        <w:rPr>
          <w:rFonts w:hint="eastAsia" w:ascii="仿宋" w:hAnsi="仿宋" w:eastAsia="仿宋" w:cs="仿宋"/>
          <w:color w:val="000000"/>
          <w:kern w:val="0"/>
          <w:sz w:val="28"/>
          <w:szCs w:val="28"/>
          <w:lang w:eastAsia="zh-CN" w:bidi="ar"/>
        </w:rPr>
        <w:t>北塔</w:t>
      </w:r>
      <w:r>
        <w:rPr>
          <w:rFonts w:hint="eastAsia" w:ascii="仿宋" w:hAnsi="仿宋" w:eastAsia="仿宋" w:cs="仿宋"/>
          <w:color w:val="000000"/>
          <w:kern w:val="0"/>
          <w:sz w:val="28"/>
          <w:szCs w:val="28"/>
          <w:lang w:val="en-US" w:eastAsia="zh-CN" w:bidi="ar"/>
        </w:rPr>
        <w:t>区教育局</w:t>
      </w:r>
      <w:r>
        <w:rPr>
          <w:rFonts w:hint="eastAsia" w:ascii="仿宋" w:hAnsi="仿宋" w:eastAsia="仿宋" w:cs="仿宋"/>
          <w:color w:val="000000"/>
          <w:kern w:val="0"/>
          <w:sz w:val="28"/>
          <w:szCs w:val="28"/>
          <w:lang w:eastAsia="zh-CN" w:bidi="ar"/>
        </w:rPr>
        <w:t>拨付资金，</w:t>
      </w:r>
      <w:r>
        <w:rPr>
          <w:rFonts w:hint="eastAsia" w:ascii="仿宋" w:hAnsi="仿宋" w:eastAsia="仿宋" w:cs="仿宋"/>
          <w:b w:val="0"/>
          <w:bCs w:val="0"/>
          <w:color w:val="000000"/>
          <w:kern w:val="0"/>
          <w:sz w:val="28"/>
          <w:szCs w:val="28"/>
          <w:lang w:eastAsia="zh-CN" w:bidi="ar"/>
        </w:rPr>
        <w:t>高撑小学</w:t>
      </w:r>
      <w:r>
        <w:rPr>
          <w:rFonts w:hint="eastAsia" w:ascii="仿宋" w:hAnsi="仿宋" w:eastAsia="仿宋" w:cs="仿宋"/>
          <w:color w:val="000000"/>
          <w:kern w:val="0"/>
          <w:sz w:val="28"/>
          <w:szCs w:val="28"/>
          <w:lang w:eastAsia="zh-CN" w:bidi="ar"/>
        </w:rPr>
        <w:t>组织实施；</w:t>
      </w:r>
      <w:r>
        <w:rPr>
          <w:rFonts w:hint="eastAsia" w:ascii="仿宋" w:hAnsi="仿宋" w:eastAsia="仿宋" w:cs="仿宋"/>
          <w:color w:val="000000"/>
          <w:kern w:val="0"/>
          <w:sz w:val="28"/>
          <w:szCs w:val="28"/>
          <w:lang w:val="en-US" w:eastAsia="zh-CN" w:bidi="ar"/>
        </w:rPr>
        <w:t>项目实施由教育局进行整体流程管理，</w:t>
      </w:r>
      <w:r>
        <w:rPr>
          <w:rFonts w:hint="eastAsia" w:ascii="仿宋" w:hAnsi="仿宋" w:eastAsia="仿宋" w:cs="仿宋"/>
          <w:b w:val="0"/>
          <w:bCs w:val="0"/>
          <w:color w:val="000000"/>
          <w:kern w:val="0"/>
          <w:sz w:val="28"/>
          <w:szCs w:val="28"/>
          <w:lang w:eastAsia="zh-CN" w:bidi="ar"/>
        </w:rPr>
        <w:t>高撑小学</w:t>
      </w:r>
      <w:r>
        <w:rPr>
          <w:rFonts w:hint="eastAsia" w:ascii="仿宋" w:hAnsi="仿宋" w:eastAsia="仿宋" w:cs="仿宋"/>
          <w:color w:val="000000"/>
          <w:kern w:val="0"/>
          <w:sz w:val="28"/>
          <w:szCs w:val="28"/>
          <w:lang w:val="en-US" w:eastAsia="zh-CN" w:bidi="ar"/>
        </w:rPr>
        <w:t>管理人员对项目</w:t>
      </w:r>
      <w:r>
        <w:rPr>
          <w:rFonts w:hint="eastAsia" w:ascii="仿宋" w:hAnsi="仿宋" w:eastAsia="仿宋" w:cs="仿宋"/>
          <w:color w:val="000000"/>
          <w:kern w:val="0"/>
          <w:sz w:val="28"/>
          <w:szCs w:val="28"/>
          <w:lang w:eastAsia="zh-CN" w:bidi="ar"/>
        </w:rPr>
        <w:t>建设</w:t>
      </w:r>
      <w:r>
        <w:rPr>
          <w:rFonts w:hint="eastAsia" w:ascii="仿宋" w:hAnsi="仿宋" w:eastAsia="仿宋" w:cs="仿宋"/>
          <w:color w:val="000000"/>
          <w:kern w:val="0"/>
          <w:sz w:val="28"/>
          <w:szCs w:val="28"/>
          <w:lang w:val="en-US" w:eastAsia="zh-CN" w:bidi="ar"/>
        </w:rPr>
        <w:t>进行监管</w:t>
      </w:r>
      <w:r>
        <w:rPr>
          <w:rFonts w:hint="eastAsia" w:ascii="仿宋" w:hAnsi="仿宋" w:eastAsia="仿宋" w:cs="仿宋"/>
          <w:color w:val="000000"/>
          <w:kern w:val="0"/>
          <w:sz w:val="28"/>
          <w:szCs w:val="28"/>
          <w:lang w:eastAsia="zh-CN" w:bidi="ar"/>
        </w:rPr>
        <w:t>。</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投入产出及效果较匹配，成本测算依据</w:t>
      </w:r>
      <w:r>
        <w:rPr>
          <w:rFonts w:hint="eastAsia" w:ascii="仿宋" w:hAnsi="仿宋" w:eastAsia="仿宋" w:cs="仿宋"/>
          <w:color w:val="000000"/>
          <w:kern w:val="0"/>
          <w:sz w:val="28"/>
          <w:szCs w:val="28"/>
          <w:lang w:eastAsia="zh-CN" w:bidi="ar"/>
        </w:rPr>
        <w:t>不够</w:t>
      </w:r>
      <w:r>
        <w:rPr>
          <w:rFonts w:hint="eastAsia" w:ascii="仿宋" w:hAnsi="仿宋" w:eastAsia="仿宋" w:cs="仿宋"/>
          <w:color w:val="000000"/>
          <w:kern w:val="0"/>
          <w:sz w:val="28"/>
          <w:szCs w:val="28"/>
          <w:lang w:val="en-US" w:eastAsia="zh-CN" w:bidi="ar"/>
        </w:rPr>
        <w:t>充分，</w:t>
      </w:r>
      <w:r>
        <w:rPr>
          <w:rFonts w:hint="eastAsia" w:ascii="仿宋" w:hAnsi="仿宋" w:eastAsia="仿宋" w:cs="仿宋"/>
          <w:color w:val="000000"/>
          <w:kern w:val="0"/>
          <w:sz w:val="28"/>
          <w:szCs w:val="28"/>
          <w:lang w:eastAsia="zh-CN" w:bidi="ar"/>
        </w:rPr>
        <w:t>且</w:t>
      </w:r>
      <w:r>
        <w:rPr>
          <w:rFonts w:hint="eastAsia" w:ascii="仿宋" w:hAnsi="仿宋" w:eastAsia="仿宋" w:cs="仿宋"/>
          <w:color w:val="000000"/>
          <w:kern w:val="0"/>
          <w:sz w:val="28"/>
          <w:szCs w:val="28"/>
          <w:lang w:val="en-US" w:eastAsia="zh-CN" w:bidi="ar"/>
        </w:rPr>
        <w:t>应补充完善成本控制措施。</w:t>
      </w:r>
    </w:p>
    <w:p>
      <w:pPr>
        <w:keepNext w:val="0"/>
        <w:keepLines w:val="0"/>
        <w:pageBreakBefore w:val="0"/>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（四）实施方案可行性</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eastAsia="zh-CN" w:bidi="ar"/>
        </w:rPr>
        <w:t>1.</w:t>
      </w:r>
      <w:r>
        <w:rPr>
          <w:rFonts w:hint="eastAsia" w:ascii="仿宋" w:hAnsi="仿宋" w:eastAsia="仿宋" w:cs="仿宋"/>
          <w:b/>
          <w:bCs/>
          <w:color w:val="000000"/>
          <w:kern w:val="0"/>
          <w:sz w:val="28"/>
          <w:szCs w:val="28"/>
          <w:lang w:val="en-US" w:eastAsia="zh-CN" w:bidi="ar"/>
        </w:rPr>
        <w:t xml:space="preserve">项目实施内容明确 </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项目主要实施内容包括操场道路</w:t>
      </w:r>
      <w:r>
        <w:rPr>
          <w:rFonts w:hint="eastAsia" w:ascii="仿宋" w:hAnsi="仿宋" w:eastAsia="仿宋" w:cs="仿宋"/>
          <w:color w:val="000000"/>
          <w:kern w:val="0"/>
          <w:sz w:val="28"/>
          <w:szCs w:val="28"/>
          <w:lang w:eastAsia="zh-CN" w:bidi="ar"/>
        </w:rPr>
        <w:t>改造、围墙改建、校园绿化、校园文化设施建设、篮球场建设、宣传栏建设、厕所改造以及其他附属工程</w:t>
      </w:r>
      <w:r>
        <w:rPr>
          <w:rFonts w:hint="eastAsia" w:ascii="仿宋" w:hAnsi="仿宋" w:eastAsia="仿宋" w:cs="仿宋"/>
          <w:color w:val="000000"/>
          <w:kern w:val="0"/>
          <w:sz w:val="28"/>
          <w:szCs w:val="28"/>
          <w:lang w:val="en-US" w:eastAsia="zh-CN" w:bidi="ar"/>
        </w:rPr>
        <w:t xml:space="preserve">。项目实施内容明确、具体。 </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2.</w:t>
      </w:r>
      <w:r>
        <w:rPr>
          <w:rFonts w:hint="eastAsia" w:ascii="仿宋" w:hAnsi="仿宋" w:eastAsia="仿宋" w:cs="仿宋"/>
          <w:b/>
          <w:bCs/>
          <w:color w:val="000000"/>
          <w:kern w:val="0"/>
          <w:sz w:val="28"/>
          <w:szCs w:val="28"/>
          <w:lang w:val="en-US" w:eastAsia="zh-CN" w:bidi="ar"/>
        </w:rPr>
        <w:t>实施方案可行性</w:t>
      </w:r>
      <w:r>
        <w:rPr>
          <w:rFonts w:hint="eastAsia" w:ascii="仿宋" w:hAnsi="仿宋" w:eastAsia="仿宋" w:cs="仿宋"/>
          <w:b/>
          <w:bCs/>
          <w:color w:val="000000"/>
          <w:kern w:val="0"/>
          <w:sz w:val="28"/>
          <w:szCs w:val="28"/>
          <w:lang w:eastAsia="zh-CN" w:bidi="ar"/>
        </w:rPr>
        <w:t>、项目时效性</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val="en-US" w:eastAsia="zh-CN" w:bidi="ar"/>
        </w:rPr>
        <w:t>项目实施方案中列出了项目实施</w:t>
      </w:r>
      <w:r>
        <w:rPr>
          <w:rFonts w:hint="eastAsia" w:ascii="仿宋" w:hAnsi="仿宋" w:eastAsia="仿宋" w:cs="仿宋"/>
          <w:color w:val="000000"/>
          <w:kern w:val="0"/>
          <w:sz w:val="28"/>
          <w:szCs w:val="28"/>
          <w:lang w:eastAsia="zh-CN" w:bidi="ar"/>
        </w:rPr>
        <w:t>项目决策、实施程序、</w:t>
      </w:r>
      <w:r>
        <w:rPr>
          <w:rFonts w:hint="eastAsia" w:ascii="仿宋" w:hAnsi="仿宋" w:eastAsia="仿宋" w:cs="仿宋"/>
          <w:color w:val="000000"/>
          <w:kern w:val="0"/>
          <w:sz w:val="28"/>
          <w:szCs w:val="28"/>
          <w:lang w:val="en-US" w:eastAsia="zh-CN" w:bidi="ar"/>
        </w:rPr>
        <w:t>项目所需人员、材料、水、电、气等基础保障条件</w:t>
      </w:r>
      <w:r>
        <w:rPr>
          <w:rFonts w:hint="eastAsia" w:ascii="仿宋" w:hAnsi="仿宋" w:eastAsia="仿宋" w:cs="仿宋"/>
          <w:color w:val="000000"/>
          <w:kern w:val="0"/>
          <w:sz w:val="28"/>
          <w:szCs w:val="28"/>
          <w:lang w:eastAsia="zh-CN" w:bidi="ar"/>
        </w:rPr>
        <w:t>、为保障项目顺利完工建立了相关管理制度、明确了不确定因素和风险管理措施。</w:t>
      </w:r>
      <w:r>
        <w:rPr>
          <w:rFonts w:hint="eastAsia" w:ascii="仿宋" w:hAnsi="仿宋" w:eastAsia="仿宋" w:cs="仿宋"/>
          <w:color w:val="000000"/>
          <w:kern w:val="0"/>
          <w:sz w:val="28"/>
          <w:szCs w:val="28"/>
          <w:lang w:val="en-US" w:eastAsia="zh-CN" w:bidi="ar"/>
        </w:rPr>
        <w:t>明确各项工作环节的时间节点和具体工作内容</w:t>
      </w:r>
      <w:r>
        <w:rPr>
          <w:rFonts w:hint="eastAsia" w:ascii="仿宋" w:hAnsi="仿宋" w:eastAsia="仿宋" w:cs="仿宋"/>
          <w:color w:val="000000"/>
          <w:kern w:val="0"/>
          <w:sz w:val="28"/>
          <w:szCs w:val="28"/>
          <w:lang w:eastAsia="zh-CN" w:bidi="ar"/>
        </w:rPr>
        <w:t>。</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但</w:t>
      </w:r>
      <w:r>
        <w:rPr>
          <w:rFonts w:hint="eastAsia" w:ascii="仿宋" w:hAnsi="仿宋" w:eastAsia="仿宋" w:cs="仿宋"/>
          <w:color w:val="000000"/>
          <w:kern w:val="0"/>
          <w:sz w:val="28"/>
          <w:szCs w:val="28"/>
          <w:lang w:val="en-US" w:eastAsia="zh-CN" w:bidi="ar"/>
        </w:rPr>
        <w:t>项目</w:t>
      </w:r>
      <w:r>
        <w:rPr>
          <w:rFonts w:hint="eastAsia" w:ascii="仿宋" w:hAnsi="仿宋" w:eastAsia="仿宋" w:cs="仿宋"/>
          <w:color w:val="000000"/>
          <w:kern w:val="0"/>
          <w:sz w:val="28"/>
          <w:szCs w:val="28"/>
          <w:lang w:eastAsia="zh-CN" w:bidi="ar"/>
        </w:rPr>
        <w:t>未</w:t>
      </w:r>
      <w:r>
        <w:rPr>
          <w:rFonts w:hint="eastAsia" w:ascii="仿宋" w:hAnsi="仿宋" w:eastAsia="仿宋" w:cs="仿宋"/>
          <w:color w:val="000000"/>
          <w:kern w:val="0"/>
          <w:sz w:val="28"/>
          <w:szCs w:val="28"/>
          <w:lang w:val="en-US" w:eastAsia="zh-CN" w:bidi="ar"/>
        </w:rPr>
        <w:t>建立有效的过程控制措施，项目设立、清理和退出</w:t>
      </w:r>
      <w:r>
        <w:rPr>
          <w:rFonts w:hint="eastAsia" w:ascii="仿宋" w:hAnsi="仿宋" w:eastAsia="仿宋" w:cs="仿宋"/>
          <w:color w:val="000000"/>
          <w:kern w:val="0"/>
          <w:sz w:val="28"/>
          <w:szCs w:val="28"/>
          <w:lang w:eastAsia="zh-CN" w:bidi="ar"/>
        </w:rPr>
        <w:t>也</w:t>
      </w:r>
      <w:r>
        <w:rPr>
          <w:rFonts w:hint="eastAsia" w:ascii="仿宋" w:hAnsi="仿宋" w:eastAsia="仿宋" w:cs="仿宋"/>
          <w:color w:val="000000"/>
          <w:kern w:val="0"/>
          <w:sz w:val="28"/>
          <w:szCs w:val="28"/>
          <w:lang w:val="en-US" w:eastAsia="zh-CN" w:bidi="ar"/>
        </w:rPr>
        <w:t>无</w:t>
      </w:r>
      <w:r>
        <w:rPr>
          <w:rFonts w:hint="eastAsia" w:ascii="仿宋" w:hAnsi="仿宋" w:eastAsia="仿宋" w:cs="仿宋"/>
          <w:color w:val="000000"/>
          <w:kern w:val="0"/>
          <w:sz w:val="28"/>
          <w:szCs w:val="28"/>
          <w:lang w:eastAsia="zh-CN" w:bidi="ar"/>
        </w:rPr>
        <w:t>清晰</w:t>
      </w:r>
      <w:r>
        <w:rPr>
          <w:rFonts w:hint="eastAsia" w:ascii="仿宋" w:hAnsi="仿宋" w:eastAsia="仿宋" w:cs="仿宋"/>
          <w:color w:val="000000"/>
          <w:kern w:val="0"/>
          <w:sz w:val="28"/>
          <w:szCs w:val="28"/>
          <w:lang w:val="en-US" w:eastAsia="zh-CN" w:bidi="ar"/>
        </w:rPr>
        <w:t>明确的时限和步骤。</w:t>
      </w:r>
    </w:p>
    <w:p>
      <w:pPr>
        <w:keepNext w:val="0"/>
        <w:keepLines w:val="0"/>
        <w:pageBreakBefore w:val="0"/>
        <w:numPr>
          <w:ilvl w:val="0"/>
          <w:numId w:val="0"/>
        </w:numPr>
        <w:wordWrap/>
        <w:overflowPunct w:val="0"/>
        <w:topLinePunct w:val="0"/>
        <w:bidi w:val="0"/>
        <w:spacing w:line="540" w:lineRule="exact"/>
        <w:ind w:leftChars="266"/>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3.过程控制有效性</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项目由区教育局负责统筹管理，</w:t>
      </w:r>
      <w:r>
        <w:rPr>
          <w:rFonts w:hint="eastAsia" w:ascii="仿宋" w:hAnsi="仿宋" w:eastAsia="仿宋" w:cs="仿宋"/>
          <w:b w:val="0"/>
          <w:bCs w:val="0"/>
          <w:color w:val="000000"/>
          <w:kern w:val="0"/>
          <w:sz w:val="28"/>
          <w:szCs w:val="28"/>
          <w:lang w:eastAsia="zh-CN" w:bidi="ar"/>
        </w:rPr>
        <w:t>高撑小学</w:t>
      </w:r>
      <w:r>
        <w:rPr>
          <w:rFonts w:hint="eastAsia" w:ascii="仿宋" w:hAnsi="仿宋" w:eastAsia="仿宋" w:cs="仿宋"/>
          <w:color w:val="000000"/>
          <w:kern w:val="0"/>
          <w:sz w:val="28"/>
          <w:szCs w:val="28"/>
          <w:lang w:val="en-US" w:eastAsia="zh-CN" w:bidi="ar"/>
        </w:rPr>
        <w:t xml:space="preserve">管理人员负责日常监督工作。设计、监理、施工等服务单位负责相关工作的实施，项目的组织机构较为健全。但实施方案中未制定对各委托方的监管措施，项目监管方面存在不足。 </w:t>
      </w:r>
    </w:p>
    <w:p>
      <w:pPr>
        <w:keepNext w:val="0"/>
        <w:keepLines w:val="0"/>
        <w:pageBreakBefore w:val="0"/>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（五）筹资合规性</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eastAsia="zh-CN" w:bidi="ar"/>
        </w:rPr>
        <w:t>1.</w:t>
      </w:r>
      <w:r>
        <w:rPr>
          <w:rFonts w:hint="eastAsia" w:ascii="仿宋" w:hAnsi="仿宋" w:eastAsia="仿宋" w:cs="仿宋"/>
          <w:b/>
          <w:bCs/>
          <w:color w:val="000000"/>
          <w:kern w:val="0"/>
          <w:sz w:val="28"/>
          <w:szCs w:val="28"/>
          <w:lang w:val="en-US" w:eastAsia="zh-CN" w:bidi="ar"/>
        </w:rPr>
        <w:t xml:space="preserve">资金筹措程序完整 </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eastAsia="zh-CN" w:bidi="ar"/>
        </w:rPr>
        <w:t>高撑小学提质改造</w:t>
      </w:r>
      <w:r>
        <w:rPr>
          <w:rFonts w:hint="eastAsia" w:ascii="仿宋" w:hAnsi="仿宋" w:eastAsia="仿宋" w:cs="仿宋"/>
          <w:color w:val="000000"/>
          <w:kern w:val="0"/>
          <w:sz w:val="28"/>
          <w:szCs w:val="28"/>
          <w:lang w:eastAsia="zh-CN" w:bidi="ar"/>
        </w:rPr>
        <w:t>建设有利于北塔区义务教育事业的发展，是北塔区教育配置的需要，也是地方财政资金投资范畴</w:t>
      </w: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拟进行</w:t>
      </w:r>
      <w:r>
        <w:rPr>
          <w:rFonts w:hint="eastAsia" w:ascii="仿宋" w:hAnsi="仿宋" w:eastAsia="仿宋" w:cs="仿宋"/>
          <w:b w:val="0"/>
          <w:bCs w:val="0"/>
          <w:color w:val="000000"/>
          <w:kern w:val="0"/>
          <w:sz w:val="28"/>
          <w:szCs w:val="28"/>
          <w:lang w:eastAsia="zh-CN" w:bidi="ar"/>
        </w:rPr>
        <w:t>路面改造、围墙改建、校园绿化、篮球场建设以及校园文化设施建设，</w:t>
      </w:r>
      <w:r>
        <w:rPr>
          <w:rFonts w:hint="eastAsia" w:ascii="仿宋" w:hAnsi="仿宋" w:eastAsia="仿宋" w:cs="仿宋"/>
          <w:color w:val="000000"/>
          <w:kern w:val="0"/>
          <w:sz w:val="28"/>
          <w:szCs w:val="28"/>
          <w:lang w:val="en-US" w:eastAsia="zh-CN" w:bidi="ar"/>
        </w:rPr>
        <w:t>具有会议纪要等必要的项目论证材料，项目前期手续完整。</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eastAsia="zh-CN" w:bidi="ar"/>
        </w:rPr>
        <w:t>2.</w:t>
      </w:r>
      <w:r>
        <w:rPr>
          <w:rFonts w:hint="eastAsia" w:ascii="仿宋" w:hAnsi="仿宋" w:eastAsia="仿宋" w:cs="仿宋"/>
          <w:b/>
          <w:bCs/>
          <w:color w:val="000000"/>
          <w:kern w:val="0"/>
          <w:sz w:val="28"/>
          <w:szCs w:val="28"/>
          <w:lang w:val="en-US" w:eastAsia="zh-CN" w:bidi="ar"/>
        </w:rPr>
        <w:t>财政支持方向合理，财政投入有保障</w:t>
      </w:r>
    </w:p>
    <w:p>
      <w:pPr>
        <w:keepNext w:val="0"/>
        <w:keepLines w:val="0"/>
        <w:pageBreakBefore w:val="0"/>
        <w:widowControl/>
        <w:suppressLineNumbers w:val="0"/>
        <w:kinsoku/>
        <w:wordWrap/>
        <w:topLinePunct w:val="0"/>
        <w:autoSpaceDE/>
        <w:autoSpaceDN/>
        <w:bidi w:val="0"/>
        <w:adjustRightInd/>
        <w:snapToGrid/>
        <w:spacing w:line="54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义务阶段教育涉及重大民生，关乎老百姓切身利益，财政资金应优先保障。项目资金来源全部为区级财政预算资金，</w:t>
      </w:r>
      <w:r>
        <w:rPr>
          <w:rFonts w:hint="eastAsia" w:ascii="仿宋" w:hAnsi="仿宋" w:eastAsia="仿宋" w:cs="仿宋"/>
          <w:color w:val="000000"/>
          <w:kern w:val="0"/>
          <w:sz w:val="28"/>
          <w:szCs w:val="28"/>
          <w:lang w:eastAsia="zh-CN" w:bidi="ar"/>
        </w:rPr>
        <w:t>建设资金在财政承受能力范围之内，</w:t>
      </w:r>
      <w:r>
        <w:rPr>
          <w:rFonts w:hint="eastAsia" w:ascii="仿宋" w:hAnsi="仿宋" w:eastAsia="仿宋" w:cs="仿宋"/>
          <w:color w:val="000000"/>
          <w:kern w:val="0"/>
          <w:sz w:val="28"/>
          <w:szCs w:val="28"/>
          <w:lang w:val="en-US" w:eastAsia="zh-CN" w:bidi="ar"/>
        </w:rPr>
        <w:t xml:space="preserve">不需要其他资金或者社会资本投入，资金筹措途径单一，筹措方式规范合理。 </w:t>
      </w:r>
    </w:p>
    <w:p>
      <w:pPr>
        <w:keepNext w:val="0"/>
        <w:keepLines w:val="0"/>
        <w:pageBreakBefore w:val="0"/>
        <w:numPr>
          <w:ilvl w:val="0"/>
          <w:numId w:val="1"/>
        </w:numPr>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总体结论</w:t>
      </w:r>
    </w:p>
    <w:p>
      <w:pPr>
        <w:keepNext w:val="0"/>
        <w:keepLines w:val="0"/>
        <w:pageBreakBefore w:val="0"/>
        <w:widowControl w:val="0"/>
        <w:suppressLineNumbers w:val="0"/>
        <w:wordWrap/>
        <w:topLinePunct w:val="0"/>
        <w:autoSpaceDE w:val="0"/>
        <w:autoSpaceDN/>
        <w:bidi w:val="0"/>
        <w:spacing w:before="0" w:beforeAutospacing="0" w:after="0" w:afterAutospacing="0" w:line="540" w:lineRule="exact"/>
        <w:ind w:left="0" w:right="0" w:firstLine="560" w:firstLineChars="200"/>
        <w:jc w:val="both"/>
        <w:rPr>
          <w:rFonts w:hint="eastAsia" w:ascii="仿宋" w:hAnsi="仿宋" w:eastAsia="仿宋" w:cs="仿宋"/>
          <w:spacing w:val="0"/>
          <w:kern w:val="2"/>
          <w:sz w:val="28"/>
          <w:szCs w:val="28"/>
        </w:rPr>
      </w:pPr>
      <w:r>
        <w:rPr>
          <w:rFonts w:hint="eastAsia" w:ascii="仿宋" w:hAnsi="仿宋" w:eastAsia="仿宋" w:cs="仿宋"/>
          <w:spacing w:val="0"/>
          <w:kern w:val="2"/>
          <w:sz w:val="28"/>
          <w:szCs w:val="28"/>
          <w:lang w:val="en-US" w:eastAsia="zh-CN" w:bidi="ar"/>
        </w:rPr>
        <w:t>事前绩效评估小组依据项目事前绩效评估指标体系，从立项必要性、投入经济性、绩效目标合理性、实施方案有效性、筹资合规性五个维度，通过数据采集、非现场评估和问卷调查等方式，对</w:t>
      </w:r>
      <w:r>
        <w:rPr>
          <w:rFonts w:hint="eastAsia" w:ascii="仿宋" w:hAnsi="仿宋" w:eastAsia="仿宋" w:cs="仿宋"/>
          <w:color w:val="000000"/>
          <w:kern w:val="0"/>
          <w:sz w:val="28"/>
          <w:szCs w:val="28"/>
          <w:lang w:val="en-US" w:eastAsia="zh-CN" w:bidi="ar"/>
        </w:rPr>
        <w:t>北塔区芙蓉学校校园文化建设改造项目</w:t>
      </w:r>
      <w:r>
        <w:rPr>
          <w:rFonts w:hint="eastAsia" w:ascii="仿宋" w:hAnsi="仿宋" w:eastAsia="仿宋" w:cs="仿宋"/>
          <w:spacing w:val="0"/>
          <w:kern w:val="2"/>
          <w:sz w:val="28"/>
          <w:szCs w:val="28"/>
          <w:lang w:val="en-US" w:eastAsia="zh-CN" w:bidi="ar"/>
        </w:rPr>
        <w:t>进行了综合评估，项目最终评分结果为89.00分，评价等级为“良好”。项目扣分情况分析具体如下：</w:t>
      </w:r>
    </w:p>
    <w:p>
      <w:pPr>
        <w:keepNext w:val="0"/>
        <w:keepLines w:val="0"/>
        <w:pageBreakBefore w:val="0"/>
        <w:widowControl w:val="0"/>
        <w:suppressLineNumbers w:val="0"/>
        <w:wordWrap/>
        <w:topLinePunct w:val="0"/>
        <w:autoSpaceDE w:val="0"/>
        <w:autoSpaceDN/>
        <w:bidi w:val="0"/>
        <w:spacing w:before="0" w:beforeAutospacing="0" w:after="0" w:afterAutospacing="0" w:line="540" w:lineRule="exact"/>
        <w:ind w:left="0" w:right="0" w:firstLine="560" w:firstLineChars="200"/>
        <w:jc w:val="both"/>
        <w:rPr>
          <w:rFonts w:hint="eastAsia" w:ascii="仿宋" w:hAnsi="仿宋" w:eastAsia="仿宋" w:cs="仿宋"/>
          <w:spacing w:val="0"/>
          <w:kern w:val="2"/>
          <w:sz w:val="28"/>
          <w:szCs w:val="28"/>
        </w:rPr>
      </w:pPr>
      <w:r>
        <w:rPr>
          <w:rFonts w:hint="eastAsia" w:ascii="仿宋" w:hAnsi="仿宋" w:eastAsia="仿宋" w:cs="仿宋"/>
          <w:spacing w:val="0"/>
          <w:kern w:val="2"/>
          <w:sz w:val="28"/>
          <w:szCs w:val="28"/>
          <w:lang w:val="en-US" w:eastAsia="zh-CN" w:bidi="ar"/>
        </w:rPr>
        <w:t>一是立项必要性方面: 立项必要性指标总分值为20.00分，实得20.00分。</w:t>
      </w:r>
    </w:p>
    <w:p>
      <w:pPr>
        <w:pStyle w:val="3"/>
        <w:keepNext w:val="0"/>
        <w:keepLines w:val="0"/>
        <w:pageBreakBefore w:val="0"/>
        <w:widowControl w:val="0"/>
        <w:suppressLineNumbers w:val="0"/>
        <w:wordWrap/>
        <w:topLinePunct w:val="0"/>
        <w:autoSpaceDE w:val="0"/>
        <w:autoSpaceDN/>
        <w:bidi w:val="0"/>
        <w:spacing w:line="540" w:lineRule="exact"/>
        <w:ind w:left="0" w:leftChars="0" w:firstLine="560" w:firstLineChars="20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二是</w:t>
      </w:r>
      <w:r>
        <w:rPr>
          <w:rFonts w:hint="eastAsia" w:ascii="仿宋" w:hAnsi="仿宋" w:eastAsia="仿宋" w:cs="仿宋"/>
          <w:spacing w:val="0"/>
          <w:kern w:val="2"/>
          <w:sz w:val="28"/>
          <w:szCs w:val="28"/>
          <w:lang w:val="en-US" w:eastAsia="zh-CN" w:bidi="ar"/>
        </w:rPr>
        <w:t>投入经济性</w:t>
      </w:r>
      <w:r>
        <w:rPr>
          <w:rFonts w:hint="eastAsia" w:ascii="仿宋" w:hAnsi="仿宋" w:eastAsia="仿宋" w:cs="仿宋"/>
          <w:spacing w:val="0"/>
          <w:kern w:val="2"/>
          <w:sz w:val="28"/>
          <w:szCs w:val="28"/>
        </w:rPr>
        <w:t>方面: 过程</w:t>
      </w:r>
      <w:r>
        <w:rPr>
          <w:rFonts w:hint="eastAsia" w:ascii="仿宋" w:hAnsi="仿宋" w:eastAsia="仿宋" w:cs="仿宋"/>
          <w:spacing w:val="0"/>
          <w:kern w:val="2"/>
          <w:sz w:val="28"/>
          <w:szCs w:val="28"/>
          <w:lang w:val="en-US" w:eastAsia="zh-CN" w:bidi="ar"/>
        </w:rPr>
        <w:t>投入经济性</w:t>
      </w:r>
      <w:r>
        <w:rPr>
          <w:rFonts w:hint="eastAsia" w:ascii="仿宋" w:hAnsi="仿宋" w:eastAsia="仿宋" w:cs="仿宋"/>
          <w:spacing w:val="0"/>
          <w:kern w:val="2"/>
          <w:sz w:val="28"/>
          <w:szCs w:val="28"/>
        </w:rPr>
        <w:t>指标总分值为</w:t>
      </w:r>
      <w:r>
        <w:rPr>
          <w:rFonts w:hint="eastAsia" w:ascii="仿宋" w:hAnsi="仿宋" w:eastAsia="仿宋" w:cs="仿宋"/>
          <w:spacing w:val="0"/>
          <w:kern w:val="2"/>
          <w:sz w:val="28"/>
          <w:szCs w:val="28"/>
          <w:lang w:val="en-US" w:eastAsia="zh-CN"/>
        </w:rPr>
        <w:t>20</w:t>
      </w:r>
      <w:r>
        <w:rPr>
          <w:rFonts w:hint="eastAsia" w:ascii="仿宋" w:hAnsi="仿宋" w:eastAsia="仿宋" w:cs="仿宋"/>
          <w:spacing w:val="0"/>
          <w:kern w:val="2"/>
          <w:sz w:val="28"/>
          <w:szCs w:val="28"/>
        </w:rPr>
        <w:t>.00分，实得</w:t>
      </w:r>
      <w:r>
        <w:rPr>
          <w:rFonts w:hint="eastAsia" w:ascii="仿宋" w:hAnsi="仿宋" w:eastAsia="仿宋" w:cs="仿宋"/>
          <w:spacing w:val="0"/>
          <w:kern w:val="2"/>
          <w:sz w:val="28"/>
          <w:szCs w:val="28"/>
          <w:lang w:val="en-US" w:eastAsia="zh-CN"/>
        </w:rPr>
        <w:t>17.00</w:t>
      </w:r>
      <w:r>
        <w:rPr>
          <w:rFonts w:hint="eastAsia" w:ascii="仿宋" w:hAnsi="仿宋" w:eastAsia="仿宋" w:cs="仿宋"/>
          <w:spacing w:val="0"/>
          <w:kern w:val="2"/>
          <w:sz w:val="28"/>
          <w:szCs w:val="28"/>
        </w:rPr>
        <w:t>分，扣</w:t>
      </w:r>
      <w:r>
        <w:rPr>
          <w:rFonts w:hint="eastAsia" w:ascii="仿宋" w:hAnsi="仿宋" w:eastAsia="仿宋" w:cs="仿宋"/>
          <w:spacing w:val="0"/>
          <w:kern w:val="2"/>
          <w:sz w:val="28"/>
          <w:szCs w:val="28"/>
          <w:lang w:val="en-US" w:eastAsia="zh-CN"/>
        </w:rPr>
        <w:t>3.00</w:t>
      </w:r>
      <w:r>
        <w:rPr>
          <w:rFonts w:hint="eastAsia" w:ascii="仿宋" w:hAnsi="仿宋" w:eastAsia="仿宋" w:cs="仿宋"/>
          <w:spacing w:val="0"/>
          <w:kern w:val="2"/>
          <w:sz w:val="28"/>
          <w:szCs w:val="28"/>
        </w:rPr>
        <w:t>分，主要扣分原因为：有相关测算明细，无相关成本测算依据。</w:t>
      </w:r>
    </w:p>
    <w:p>
      <w:pPr>
        <w:pStyle w:val="3"/>
        <w:keepNext w:val="0"/>
        <w:keepLines w:val="0"/>
        <w:pageBreakBefore w:val="0"/>
        <w:widowControl w:val="0"/>
        <w:suppressLineNumbers w:val="0"/>
        <w:wordWrap/>
        <w:topLinePunct w:val="0"/>
        <w:autoSpaceDE w:val="0"/>
        <w:autoSpaceDN/>
        <w:bidi w:val="0"/>
        <w:spacing w:line="540" w:lineRule="exact"/>
        <w:ind w:left="0" w:leftChars="0" w:firstLine="560" w:firstLineChars="20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三是</w:t>
      </w:r>
      <w:r>
        <w:rPr>
          <w:rFonts w:hint="eastAsia" w:ascii="仿宋" w:hAnsi="仿宋" w:eastAsia="仿宋" w:cs="仿宋"/>
          <w:spacing w:val="0"/>
          <w:kern w:val="2"/>
          <w:sz w:val="28"/>
          <w:szCs w:val="28"/>
          <w:lang w:val="en-US" w:eastAsia="zh-CN" w:bidi="ar"/>
        </w:rPr>
        <w:t>绩效目标合理性</w:t>
      </w:r>
      <w:r>
        <w:rPr>
          <w:rFonts w:hint="eastAsia" w:ascii="仿宋" w:hAnsi="仿宋" w:eastAsia="仿宋" w:cs="仿宋"/>
          <w:spacing w:val="0"/>
          <w:kern w:val="2"/>
          <w:sz w:val="28"/>
          <w:szCs w:val="28"/>
        </w:rPr>
        <w:t xml:space="preserve">方面: </w:t>
      </w:r>
      <w:r>
        <w:rPr>
          <w:rFonts w:hint="eastAsia" w:ascii="仿宋" w:hAnsi="仿宋" w:eastAsia="仿宋" w:cs="仿宋"/>
          <w:spacing w:val="0"/>
          <w:kern w:val="2"/>
          <w:sz w:val="28"/>
          <w:szCs w:val="28"/>
          <w:lang w:val="en-US" w:eastAsia="zh-CN" w:bidi="ar"/>
        </w:rPr>
        <w:t>绩效目标合理性指标</w:t>
      </w:r>
      <w:r>
        <w:rPr>
          <w:rFonts w:hint="eastAsia" w:ascii="仿宋" w:hAnsi="仿宋" w:eastAsia="仿宋" w:cs="仿宋"/>
          <w:spacing w:val="0"/>
          <w:kern w:val="2"/>
          <w:sz w:val="28"/>
          <w:szCs w:val="28"/>
        </w:rPr>
        <w:t>总分值为2</w:t>
      </w:r>
      <w:r>
        <w:rPr>
          <w:rFonts w:hint="eastAsia" w:ascii="仿宋" w:hAnsi="仿宋" w:eastAsia="仿宋" w:cs="仿宋"/>
          <w:spacing w:val="0"/>
          <w:kern w:val="2"/>
          <w:sz w:val="28"/>
          <w:szCs w:val="28"/>
          <w:lang w:val="en-US" w:eastAsia="zh-CN"/>
        </w:rPr>
        <w:t>0</w:t>
      </w:r>
      <w:r>
        <w:rPr>
          <w:rFonts w:hint="eastAsia" w:ascii="仿宋" w:hAnsi="仿宋" w:eastAsia="仿宋" w:cs="仿宋"/>
          <w:spacing w:val="0"/>
          <w:kern w:val="2"/>
          <w:sz w:val="28"/>
          <w:szCs w:val="28"/>
        </w:rPr>
        <w:t>.00分，实得</w:t>
      </w:r>
      <w:r>
        <w:rPr>
          <w:rFonts w:hint="eastAsia" w:ascii="仿宋" w:hAnsi="仿宋" w:eastAsia="仿宋" w:cs="仿宋"/>
          <w:spacing w:val="0"/>
          <w:kern w:val="2"/>
          <w:sz w:val="28"/>
          <w:szCs w:val="28"/>
          <w:lang w:val="en-US" w:eastAsia="zh-CN"/>
        </w:rPr>
        <w:t>15</w:t>
      </w:r>
      <w:r>
        <w:rPr>
          <w:rFonts w:hint="eastAsia" w:ascii="仿宋" w:hAnsi="仿宋" w:eastAsia="仿宋" w:cs="仿宋"/>
          <w:spacing w:val="0"/>
          <w:kern w:val="2"/>
          <w:sz w:val="28"/>
          <w:szCs w:val="28"/>
        </w:rPr>
        <w:t>.00分，扣</w:t>
      </w:r>
      <w:r>
        <w:rPr>
          <w:rFonts w:hint="eastAsia" w:ascii="仿宋" w:hAnsi="仿宋" w:eastAsia="仿宋" w:cs="仿宋"/>
          <w:spacing w:val="0"/>
          <w:kern w:val="2"/>
          <w:sz w:val="28"/>
          <w:szCs w:val="28"/>
          <w:lang w:val="en-US" w:eastAsia="zh-CN"/>
        </w:rPr>
        <w:t>5</w:t>
      </w:r>
      <w:r>
        <w:rPr>
          <w:rFonts w:hint="eastAsia" w:ascii="仿宋" w:hAnsi="仿宋" w:eastAsia="仿宋" w:cs="仿宋"/>
          <w:spacing w:val="0"/>
          <w:kern w:val="2"/>
          <w:sz w:val="28"/>
          <w:szCs w:val="28"/>
        </w:rPr>
        <w:t>.00分，主要扣分原因为：绩效目标明确性不高</w:t>
      </w:r>
      <w:r>
        <w:rPr>
          <w:rFonts w:hint="eastAsia" w:ascii="仿宋" w:hAnsi="仿宋" w:eastAsia="仿宋" w:cs="仿宋"/>
          <w:spacing w:val="0"/>
          <w:kern w:val="2"/>
          <w:sz w:val="28"/>
          <w:szCs w:val="28"/>
          <w:lang w:eastAsia="zh-CN"/>
        </w:rPr>
        <w:t>，绩效指标不够细化、量化</w:t>
      </w:r>
      <w:r>
        <w:rPr>
          <w:rFonts w:hint="eastAsia" w:ascii="仿宋" w:hAnsi="仿宋" w:eastAsia="仿宋" w:cs="仿宋"/>
          <w:spacing w:val="0"/>
          <w:kern w:val="2"/>
          <w:sz w:val="28"/>
          <w:szCs w:val="28"/>
        </w:rPr>
        <w:t>。</w:t>
      </w:r>
    </w:p>
    <w:p>
      <w:pPr>
        <w:keepNext w:val="0"/>
        <w:keepLines w:val="0"/>
        <w:pageBreakBefore w:val="0"/>
        <w:widowControl w:val="0"/>
        <w:suppressLineNumbers w:val="0"/>
        <w:wordWrap/>
        <w:topLinePunct w:val="0"/>
        <w:autoSpaceDE w:val="0"/>
        <w:autoSpaceDN/>
        <w:bidi w:val="0"/>
        <w:spacing w:before="0" w:beforeAutospacing="0" w:after="0" w:afterAutospacing="0" w:line="540" w:lineRule="exact"/>
        <w:ind w:left="0" w:right="0" w:firstLine="560" w:firstLineChars="200"/>
        <w:jc w:val="both"/>
        <w:rPr>
          <w:rFonts w:hint="eastAsia" w:ascii="仿宋" w:hAnsi="仿宋" w:eastAsia="仿宋" w:cs="仿宋"/>
          <w:spacing w:val="0"/>
          <w:kern w:val="2"/>
          <w:sz w:val="28"/>
          <w:szCs w:val="28"/>
          <w:lang w:val="en-US" w:eastAsia="zh-CN" w:bidi="ar"/>
        </w:rPr>
      </w:pPr>
      <w:r>
        <w:rPr>
          <w:rFonts w:hint="eastAsia" w:ascii="仿宋" w:hAnsi="仿宋" w:eastAsia="仿宋" w:cs="仿宋"/>
          <w:spacing w:val="0"/>
          <w:kern w:val="2"/>
          <w:sz w:val="28"/>
          <w:szCs w:val="28"/>
          <w:lang w:val="en-US" w:eastAsia="zh-CN" w:bidi="ar"/>
        </w:rPr>
        <w:t>四是实施方案有效性方面:实施方案有效性指标总分值为20.00分，实得17.00分，扣3.00分，主要扣分原因为：项目无明确设立、退出时限；项目清理、退出、调整机制不健全，项目执行过程无相关的管控机制。</w:t>
      </w:r>
    </w:p>
    <w:p>
      <w:pPr>
        <w:keepNext w:val="0"/>
        <w:keepLines w:val="0"/>
        <w:pageBreakBefore w:val="0"/>
        <w:widowControl w:val="0"/>
        <w:suppressLineNumbers w:val="0"/>
        <w:wordWrap/>
        <w:topLinePunct w:val="0"/>
        <w:autoSpaceDE w:val="0"/>
        <w:autoSpaceDN/>
        <w:bidi w:val="0"/>
        <w:spacing w:before="0" w:beforeAutospacing="0" w:after="0" w:afterAutospacing="0" w:line="540" w:lineRule="exact"/>
        <w:ind w:left="0" w:right="0" w:firstLine="560" w:firstLineChars="200"/>
        <w:jc w:val="both"/>
        <w:rPr>
          <w:rFonts w:hint="eastAsia" w:ascii="仿宋" w:hAnsi="仿宋" w:eastAsia="仿宋" w:cs="仿宋"/>
          <w:spacing w:val="0"/>
          <w:kern w:val="2"/>
          <w:sz w:val="28"/>
          <w:szCs w:val="28"/>
          <w:lang w:val="en-US" w:eastAsia="zh-CN" w:bidi="ar"/>
        </w:rPr>
      </w:pPr>
      <w:r>
        <w:rPr>
          <w:rFonts w:hint="eastAsia" w:ascii="仿宋" w:hAnsi="仿宋" w:eastAsia="仿宋" w:cs="仿宋"/>
          <w:spacing w:val="0"/>
          <w:kern w:val="2"/>
          <w:sz w:val="28"/>
          <w:szCs w:val="28"/>
          <w:lang w:val="en-US" w:eastAsia="zh-CN" w:bidi="ar"/>
        </w:rPr>
        <w:t>五是筹资合规性方面：筹资合规性指标总分值为20.00分，实得20.00分。</w:t>
      </w:r>
    </w:p>
    <w:p>
      <w:pPr>
        <w:keepNext w:val="0"/>
        <w:keepLines w:val="0"/>
        <w:pageBreakBefore w:val="0"/>
        <w:wordWrap/>
        <w:overflowPunct w:val="0"/>
        <w:topLinePunct w:val="0"/>
        <w:bidi w:val="0"/>
        <w:spacing w:line="5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四、评估的相关建议</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eastAsia="zh-CN" w:bidi="ar"/>
        </w:rPr>
      </w:pPr>
      <w:bookmarkStart w:id="2" w:name="_Hlk53502312"/>
      <w:r>
        <w:rPr>
          <w:rFonts w:hint="eastAsia" w:ascii="仿宋" w:hAnsi="仿宋" w:eastAsia="仿宋" w:cs="仿宋"/>
          <w:b/>
          <w:bCs/>
          <w:color w:val="000000"/>
          <w:kern w:val="0"/>
          <w:sz w:val="28"/>
          <w:szCs w:val="28"/>
          <w:lang w:val="en-US" w:eastAsia="zh-CN" w:bidi="ar"/>
        </w:rPr>
        <w:t xml:space="preserve">1、加强绩效目标管理，进行绩效运行监控 </w:t>
      </w:r>
      <w:r>
        <w:rPr>
          <w:rFonts w:hint="eastAsia" w:ascii="仿宋" w:hAnsi="仿宋" w:eastAsia="仿宋" w:cs="仿宋"/>
          <w:b/>
          <w:bCs/>
          <w:color w:val="000000"/>
          <w:kern w:val="0"/>
          <w:sz w:val="28"/>
          <w:szCs w:val="28"/>
          <w:lang w:eastAsia="zh-CN" w:bidi="ar"/>
        </w:rPr>
        <w:t>，</w:t>
      </w:r>
      <w:bookmarkStart w:id="3" w:name="_Toc79571992"/>
      <w:r>
        <w:rPr>
          <w:rFonts w:hint="eastAsia" w:ascii="仿宋" w:hAnsi="仿宋" w:eastAsia="仿宋" w:cs="仿宋"/>
          <w:b/>
          <w:bCs/>
          <w:color w:val="000000"/>
          <w:kern w:val="0"/>
          <w:sz w:val="28"/>
          <w:szCs w:val="28"/>
          <w:lang w:val="en-US" w:eastAsia="zh-CN" w:bidi="ar"/>
        </w:rPr>
        <w:t>提升预算绩效管理水平</w:t>
      </w:r>
      <w:bookmarkEnd w:id="3"/>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val="en-US" w:eastAsia="zh-CN" w:bidi="ar"/>
        </w:rPr>
        <w:t>项目实施单位应按照《湖南省预算绩效目标管理办法》</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湘财绩〔2020〕7号</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中的要求，除了编制实施期绩效目标外，还应编制年度绩效目标，绩效目标应从数量、质量、成本和时效等方面进行细化，并以定量表述为主；目标要符合客观实际，确保在该年度内能如期实现，不能过高或过低；绩效目标要与年度的任务数或计划数相对应，与年度预算确定的投资额或资金量相匹配。</w:t>
      </w:r>
    </w:p>
    <w:p>
      <w:pPr>
        <w:keepNext w:val="0"/>
        <w:keepLines w:val="0"/>
        <w:pageBreakBefore w:val="0"/>
        <w:numPr>
          <w:ilvl w:val="0"/>
          <w:numId w:val="2"/>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 xml:space="preserve">明确测算依据，科学编制项目预算 </w:t>
      </w:r>
    </w:p>
    <w:p>
      <w:pPr>
        <w:keepNext w:val="0"/>
        <w:keepLines w:val="0"/>
        <w:pageBreakBefore w:val="0"/>
        <w:wordWrap/>
        <w:overflowPunct w:val="0"/>
        <w:topLinePunct w:val="0"/>
        <w:bidi w:val="0"/>
        <w:spacing w:line="540" w:lineRule="exact"/>
        <w:ind w:firstLine="482"/>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建议项目单位依据学校实际需求情况，完善工程方案设计，加快完善工程设计说明、施工图纸及工程量表，进行项目可行性论证，在开展进一步的市场工作询价后，细化成本测算，明确取费标准，科学、合理地编制项目投资估算表，提高财政资金使用效益。</w:t>
      </w:r>
    </w:p>
    <w:bookmarkEnd w:id="2"/>
    <w:p>
      <w:pPr>
        <w:keepNext w:val="0"/>
        <w:keepLines w:val="0"/>
        <w:pageBreakBefore w:val="0"/>
        <w:numPr>
          <w:ilvl w:val="0"/>
          <w:numId w:val="0"/>
        </w:numPr>
        <w:wordWrap/>
        <w:overflowPunct w:val="0"/>
        <w:topLinePunct w:val="0"/>
        <w:bidi w:val="0"/>
        <w:spacing w:line="540" w:lineRule="exact"/>
        <w:ind w:firstLine="562" w:firstLineChars="200"/>
        <w:rPr>
          <w:rFonts w:hint="default" w:ascii="仿宋" w:hAnsi="仿宋" w:eastAsia="仿宋" w:cs="仿宋"/>
          <w:b/>
          <w:bCs/>
          <w:spacing w:val="0"/>
          <w:kern w:val="2"/>
          <w:sz w:val="28"/>
          <w:szCs w:val="28"/>
          <w:lang w:val="en-US" w:eastAsia="zh-CN" w:bidi="ar"/>
        </w:rPr>
      </w:pPr>
      <w:r>
        <w:rPr>
          <w:rFonts w:hint="eastAsia" w:ascii="仿宋" w:hAnsi="仿宋" w:eastAsia="仿宋" w:cs="仿宋"/>
          <w:b/>
          <w:bCs/>
          <w:spacing w:val="0"/>
          <w:kern w:val="2"/>
          <w:sz w:val="28"/>
          <w:szCs w:val="28"/>
          <w:lang w:eastAsia="zh-CN" w:bidi="ar"/>
        </w:rPr>
        <w:t>3、</w:t>
      </w:r>
      <w:r>
        <w:rPr>
          <w:rFonts w:hint="eastAsia" w:ascii="仿宋" w:hAnsi="仿宋" w:eastAsia="仿宋" w:cs="仿宋"/>
          <w:b/>
          <w:bCs/>
          <w:spacing w:val="0"/>
          <w:kern w:val="2"/>
          <w:sz w:val="28"/>
          <w:szCs w:val="28"/>
          <w:lang w:val="en-US" w:eastAsia="zh-CN" w:bidi="ar"/>
        </w:rPr>
        <w:t>完善健全项目实施计划和方案，保障项目顺利推进、按时按质</w:t>
      </w:r>
    </w:p>
    <w:p>
      <w:pPr>
        <w:keepNext w:val="0"/>
        <w:keepLines w:val="0"/>
        <w:pageBreakBefore w:val="0"/>
        <w:wordWrap/>
        <w:overflowPunct w:val="0"/>
        <w:topLinePunct w:val="0"/>
        <w:bidi w:val="0"/>
        <w:spacing w:line="540" w:lineRule="exact"/>
        <w:ind w:firstLine="482"/>
        <w:rPr>
          <w:rFonts w:hint="eastAsia" w:ascii="仿宋" w:hAnsi="仿宋" w:eastAsia="仿宋" w:cs="仿宋"/>
          <w:spacing w:val="0"/>
          <w:kern w:val="2"/>
          <w:sz w:val="28"/>
          <w:szCs w:val="28"/>
          <w:lang w:eastAsia="zh-CN" w:bidi="ar"/>
        </w:rPr>
      </w:pPr>
      <w:r>
        <w:rPr>
          <w:rFonts w:hint="eastAsia" w:ascii="仿宋" w:hAnsi="仿宋" w:eastAsia="仿宋" w:cs="仿宋"/>
          <w:spacing w:val="0"/>
          <w:kern w:val="2"/>
          <w:sz w:val="28"/>
          <w:szCs w:val="28"/>
          <w:lang w:eastAsia="zh-CN" w:bidi="ar"/>
        </w:rPr>
        <w:t>北塔区教育局</w:t>
      </w:r>
      <w:r>
        <w:rPr>
          <w:rFonts w:hint="eastAsia" w:ascii="仿宋" w:hAnsi="仿宋" w:eastAsia="仿宋" w:cs="仿宋"/>
          <w:spacing w:val="0"/>
          <w:kern w:val="2"/>
          <w:sz w:val="28"/>
          <w:szCs w:val="28"/>
          <w:lang w:val="en-US" w:eastAsia="zh-CN" w:bidi="ar"/>
        </w:rPr>
        <w:t>要发挥建设单位作用，在国家法律法规大框架下进一步完善和细化项目管理相关制度，根据项目建设特征，积极建立健全单位项目基本管理、前期筹备及设计管理、工程项目招标管理、项目造价管理、项目进度管理、合同管理、质量管理、安全与环境保护等重点环节管理制度。加强项目事前、事中、事后的全过程监管。及时解决项目实施过程中出现的问题，保障项目建设进度和建设质量</w:t>
      </w:r>
      <w:r>
        <w:rPr>
          <w:rFonts w:hint="eastAsia" w:ascii="仿宋" w:hAnsi="仿宋" w:eastAsia="仿宋" w:cs="仿宋"/>
          <w:spacing w:val="0"/>
          <w:kern w:val="2"/>
          <w:sz w:val="28"/>
          <w:szCs w:val="28"/>
          <w:lang w:eastAsia="zh-CN" w:bidi="ar"/>
        </w:rPr>
        <w:t>。</w:t>
      </w:r>
    </w:p>
    <w:p>
      <w:pPr>
        <w:keepNext w:val="0"/>
        <w:keepLines w:val="0"/>
        <w:pageBreakBefore w:val="0"/>
        <w:wordWrap/>
        <w:overflowPunct w:val="0"/>
        <w:topLinePunct w:val="0"/>
        <w:bidi w:val="0"/>
        <w:spacing w:line="5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五、其他需要说明的问题</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本报告是评估机构根据对项目单位所提供及其他经委托方认可的材料进行全面分析与评估，在与委托方沟通的基础上综合形成的</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报告重点针对</w:t>
      </w:r>
      <w:r>
        <w:rPr>
          <w:rFonts w:hint="eastAsia" w:ascii="仿宋" w:hAnsi="仿宋" w:eastAsia="仿宋" w:cs="仿宋"/>
          <w:color w:val="000000"/>
          <w:kern w:val="0"/>
          <w:sz w:val="28"/>
          <w:szCs w:val="28"/>
          <w:lang w:eastAsia="zh-CN" w:bidi="ar"/>
        </w:rPr>
        <w:t>茶元头中学篮球场改造</w:t>
      </w:r>
      <w:r>
        <w:rPr>
          <w:rFonts w:hint="eastAsia" w:ascii="仿宋" w:hAnsi="仿宋" w:eastAsia="仿宋" w:cs="仿宋"/>
          <w:color w:val="000000"/>
          <w:kern w:val="0"/>
          <w:sz w:val="28"/>
          <w:szCs w:val="28"/>
          <w:lang w:val="en-US" w:eastAsia="zh-CN" w:bidi="ar"/>
        </w:rPr>
        <w:t>项目的预算申报进行评估，本报告的结论与意见是参考性的，仅供财政部门审核预算时参考使用，不做其他用途</w:t>
      </w:r>
      <w:r>
        <w:rPr>
          <w:rFonts w:hint="eastAsia" w:ascii="仿宋" w:hAnsi="仿宋" w:eastAsia="仿宋" w:cs="仿宋"/>
          <w:color w:val="000000"/>
          <w:kern w:val="0"/>
          <w:sz w:val="28"/>
          <w:szCs w:val="28"/>
          <w:lang w:eastAsia="zh-CN" w:bidi="ar"/>
        </w:rPr>
        <w:t>。</w:t>
      </w:r>
    </w:p>
    <w:p>
      <w:pPr>
        <w:keepNext w:val="0"/>
        <w:keepLines w:val="0"/>
        <w:pageBreakBefore w:val="0"/>
        <w:wordWrap/>
        <w:overflowPunct w:val="0"/>
        <w:topLinePunct w:val="0"/>
        <w:bidi w:val="0"/>
        <w:spacing w:line="5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、附件材料</w:t>
      </w:r>
    </w:p>
    <w:p>
      <w:pPr>
        <w:keepNext w:val="0"/>
        <w:keepLines w:val="0"/>
        <w:pageBreakBefore w:val="0"/>
        <w:wordWrap/>
        <w:overflowPunct w:val="0"/>
        <w:topLinePunct w:val="0"/>
        <w:bidi w:val="0"/>
        <w:spacing w:line="540" w:lineRule="exact"/>
        <w:ind w:firstLine="480"/>
        <w:rPr>
          <w:rFonts w:hint="eastAsia" w:ascii="仿宋" w:hAnsi="仿宋" w:eastAsia="仿宋" w:cs="仿宋"/>
          <w:sz w:val="28"/>
          <w:szCs w:val="28"/>
        </w:rPr>
      </w:pPr>
      <w:r>
        <w:rPr>
          <w:rFonts w:hint="eastAsia" w:ascii="仿宋" w:hAnsi="仿宋" w:eastAsia="仿宋" w:cs="仿宋"/>
          <w:sz w:val="28"/>
          <w:szCs w:val="28"/>
        </w:rPr>
        <w:t>附件一：高撑小学提质改造项目事前绩效评估指标表</w:t>
      </w:r>
    </w:p>
    <w:p>
      <w:pPr>
        <w:keepNext w:val="0"/>
        <w:keepLines w:val="0"/>
        <w:pageBreakBefore w:val="0"/>
        <w:wordWrap/>
        <w:overflowPunct w:val="0"/>
        <w:topLinePunct w:val="0"/>
        <w:bidi w:val="0"/>
        <w:spacing w:line="540" w:lineRule="exact"/>
        <w:ind w:firstLine="480"/>
        <w:rPr>
          <w:rFonts w:hint="eastAsia" w:ascii="仿宋" w:hAnsi="仿宋" w:eastAsia="仿宋" w:cs="仿宋"/>
          <w:sz w:val="28"/>
          <w:szCs w:val="28"/>
        </w:rPr>
      </w:pPr>
    </w:p>
    <w:p>
      <w:pPr>
        <w:keepNext w:val="0"/>
        <w:keepLines w:val="0"/>
        <w:pageBreakBefore w:val="0"/>
        <w:kinsoku/>
        <w:wordWrap/>
        <w:overflowPunct/>
        <w:topLinePunct w:val="0"/>
        <w:bidi w:val="0"/>
        <w:spacing w:line="540" w:lineRule="exact"/>
        <w:ind w:firstLine="560" w:firstLineChars="200"/>
        <w:rPr>
          <w:rFonts w:hint="eastAsia" w:ascii="仿宋" w:hAnsi="仿宋" w:eastAsia="仿宋" w:cs="仿宋"/>
          <w:spacing w:val="0"/>
          <w:kern w:val="2"/>
          <w:sz w:val="28"/>
          <w:szCs w:val="28"/>
          <w:highlight w:val="none"/>
          <w:lang w:val="en-US" w:eastAsia="zh-CN" w:bidi="ar-SA"/>
        </w:rPr>
      </w:pPr>
    </w:p>
    <w:p>
      <w:pPr>
        <w:shd w:val="clear" w:color="auto" w:fill="auto"/>
        <w:spacing w:line="560" w:lineRule="exact"/>
        <w:jc w:val="right"/>
        <w:rPr>
          <w:rFonts w:hint="eastAsia" w:ascii="仿宋" w:hAnsi="仿宋" w:eastAsia="仿宋" w:cs="仿宋"/>
          <w:b/>
          <w:bCs/>
          <w:sz w:val="28"/>
          <w:szCs w:val="28"/>
        </w:rPr>
      </w:pPr>
      <w:r>
        <w:rPr>
          <w:rFonts w:hint="eastAsia" w:ascii="仿宋" w:hAnsi="仿宋" w:eastAsia="仿宋" w:cs="仿宋"/>
          <w:b/>
          <w:bCs/>
          <w:sz w:val="28"/>
          <w:szCs w:val="28"/>
          <w:lang w:eastAsia="zh-CN"/>
        </w:rPr>
        <w:t>湖南骏新联合会计师事务所</w:t>
      </w:r>
      <w:r>
        <w:rPr>
          <w:rFonts w:hint="eastAsia" w:ascii="仿宋" w:hAnsi="仿宋" w:eastAsia="仿宋" w:cs="仿宋"/>
          <w:b/>
          <w:bCs/>
          <w:sz w:val="28"/>
          <w:szCs w:val="28"/>
        </w:rPr>
        <w:t>（普通合伙）</w:t>
      </w:r>
    </w:p>
    <w:p>
      <w:pPr>
        <w:shd w:val="clear" w:color="auto" w:fill="auto"/>
        <w:spacing w:line="560" w:lineRule="exact"/>
        <w:rPr>
          <w:rFonts w:hint="default"/>
          <w:lang w:val="en-US" w:eastAsia="zh-CN"/>
        </w:r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二〇二</w:t>
      </w:r>
      <w:r>
        <w:rPr>
          <w:rFonts w:hint="eastAsia" w:cs="仿宋"/>
          <w:b/>
          <w:bCs/>
          <w:color w:val="000000"/>
          <w:sz w:val="28"/>
          <w:szCs w:val="28"/>
          <w:lang w:eastAsia="zh-CN"/>
        </w:rPr>
        <w:t>三</w:t>
      </w:r>
      <w:r>
        <w:rPr>
          <w:rFonts w:hint="eastAsia" w:ascii="仿宋" w:hAnsi="仿宋" w:eastAsia="仿宋" w:cs="仿宋"/>
          <w:b/>
          <w:bCs/>
          <w:color w:val="000000"/>
          <w:sz w:val="28"/>
          <w:szCs w:val="28"/>
        </w:rPr>
        <w:t>年</w:t>
      </w:r>
      <w:r>
        <w:rPr>
          <w:rFonts w:hint="eastAsia" w:cs="仿宋"/>
          <w:b/>
          <w:bCs/>
          <w:color w:val="000000"/>
          <w:sz w:val="28"/>
          <w:szCs w:val="28"/>
          <w:lang w:val="en-US" w:eastAsia="zh-CN"/>
        </w:rPr>
        <w:t>十一</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eastAsia="zh-CN"/>
        </w:rPr>
        <w:t>二十</w:t>
      </w: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日</w:t>
      </w:r>
    </w:p>
    <w:p>
      <w:pPr>
        <w:overflowPunct w:val="0"/>
        <w:spacing w:line="600" w:lineRule="exact"/>
        <w:ind w:firstLine="480"/>
        <w:rPr>
          <w:rFonts w:hint="eastAsia" w:ascii="仿宋" w:hAnsi="仿宋" w:eastAsia="仿宋" w:cs="仿宋"/>
          <w:sz w:val="28"/>
          <w:szCs w:val="28"/>
        </w:rPr>
      </w:pPr>
    </w:p>
    <w:p>
      <w:pPr>
        <w:bidi w:val="0"/>
        <w:rPr>
          <w:rFonts w:hint="eastAsia" w:ascii="Times New Roman" w:hAnsi="Times New Roman" w:eastAsia="宋体" w:cs="Times New Roman"/>
          <w:kern w:val="2"/>
          <w:sz w:val="21"/>
          <w:szCs w:val="24"/>
          <w:lang w:val="en-US" w:eastAsia="zh-CN" w:bidi="ar-SA"/>
        </w:rPr>
      </w:pPr>
    </w:p>
    <w:p>
      <w:pPr>
        <w:bidi w:val="0"/>
        <w:rPr>
          <w:rFonts w:hint="eastAsia" w:ascii="Times New Roman" w:hAnsi="Times New Roman" w:eastAsia="宋体" w:cs="Times New Roman"/>
          <w:kern w:val="2"/>
          <w:sz w:val="21"/>
          <w:szCs w:val="24"/>
          <w:lang w:val="en-US" w:eastAsia="zh-CN" w:bidi="ar-SA"/>
        </w:rPr>
      </w:pPr>
    </w:p>
    <w:p>
      <w:pPr>
        <w:bidi w:val="0"/>
        <w:rPr>
          <w:rFonts w:hint="eastAsia" w:ascii="Times New Roman" w:hAnsi="Times New Roman" w:eastAsia="宋体" w:cs="Times New Roman"/>
          <w:kern w:val="2"/>
          <w:sz w:val="21"/>
          <w:szCs w:val="24"/>
          <w:lang w:val="en-US" w:eastAsia="zh-CN" w:bidi="ar-SA"/>
        </w:rPr>
      </w:pPr>
    </w:p>
    <w:p>
      <w:pPr>
        <w:bidi w:val="0"/>
        <w:rPr>
          <w:rFonts w:hint="eastAsia" w:ascii="Times New Roman" w:hAnsi="Times New Roman" w:eastAsia="宋体" w:cs="Times New Roman"/>
          <w:kern w:val="2"/>
          <w:sz w:val="21"/>
          <w:szCs w:val="24"/>
          <w:lang w:val="en-US" w:eastAsia="zh-CN" w:bidi="ar-SA"/>
        </w:rPr>
      </w:pPr>
    </w:p>
    <w:p>
      <w:pPr>
        <w:bidi w:val="0"/>
        <w:rPr>
          <w:rFonts w:hint="eastAsia" w:ascii="Times New Roman" w:hAnsi="Times New Roman" w:eastAsia="宋体" w:cs="Times New Roman"/>
          <w:kern w:val="2"/>
          <w:sz w:val="21"/>
          <w:szCs w:val="24"/>
          <w:lang w:val="en-US" w:eastAsia="zh-CN" w:bidi="ar-SA"/>
        </w:rPr>
      </w:pPr>
    </w:p>
    <w:p>
      <w:pPr>
        <w:bidi w:val="0"/>
        <w:rPr>
          <w:rFonts w:hint="eastAsia" w:ascii="Times New Roman" w:hAnsi="Times New Roman" w:eastAsia="宋体" w:cs="Times New Roman"/>
          <w:kern w:val="2"/>
          <w:sz w:val="21"/>
          <w:szCs w:val="24"/>
          <w:lang w:val="en-US" w:eastAsia="zh-CN" w:bidi="ar-SA"/>
        </w:rPr>
      </w:pPr>
    </w:p>
    <w:p>
      <w:pPr>
        <w:bidi w:val="0"/>
        <w:rPr>
          <w:rFonts w:hint="eastAsia" w:ascii="Times New Roman" w:hAnsi="Times New Roman" w:eastAsia="宋体" w:cs="Times New Roman"/>
          <w:kern w:val="2"/>
          <w:sz w:val="21"/>
          <w:szCs w:val="24"/>
          <w:lang w:val="en-US" w:eastAsia="zh-CN" w:bidi="ar-SA"/>
        </w:rPr>
        <w:sectPr>
          <w:footerReference r:id="rId4" w:type="default"/>
          <w:pgSz w:w="11906" w:h="16838"/>
          <w:pgMar w:top="1440" w:right="1800" w:bottom="1440" w:left="1800" w:header="851" w:footer="992" w:gutter="0"/>
          <w:pgNumType w:fmt="decimal"/>
          <w:cols w:space="425" w:num="1"/>
          <w:docGrid w:type="lines" w:linePitch="312" w:charSpace="0"/>
        </w:sectPr>
      </w:pPr>
    </w:p>
    <w:p>
      <w:pPr>
        <w:rPr>
          <w:rFonts w:hint="eastAsia"/>
          <w:sz w:val="28"/>
          <w:szCs w:val="28"/>
          <w:lang w:val="en-US" w:eastAsia="zh-CN"/>
        </w:rPr>
      </w:pPr>
      <w:r>
        <w:rPr>
          <w:rFonts w:hint="eastAsia"/>
          <w:sz w:val="28"/>
          <w:szCs w:val="28"/>
          <w:lang w:val="en-US" w:eastAsia="zh-CN"/>
        </w:rPr>
        <w:t>附件1：</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1"/>
        <w:gridCol w:w="1976"/>
        <w:gridCol w:w="768"/>
        <w:gridCol w:w="5244"/>
        <w:gridCol w:w="2177"/>
        <w:gridCol w:w="714"/>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高撑小学提质改造项目事前绩效评估指标表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8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评估要点</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评分依据</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立项必要性（20分）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政策相关性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是否与国家、湖南省相关行业宏观政策相关。</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项目的建设有利于推进北塔区义务教育事业的发展，符合国家对教育事业发展的支持</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职能相关性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是否与主管部门职能、规划及当年重点工作相关。</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北塔区教育局负责统筹全区教育事业发展，该项目是教育局年度重点工作任务之一</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需求相关性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①是否具有现实需求，需求是否迫切；②是否有可替代性；③是否有确定的服务对象或受益对象。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关于请求同意对北塔区高撑小学校园原操场道路、围墙、绿化等项目提质改造的报告</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财政投入相关性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是否具有公共性，是否属于公共财政支持范围。</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本项目旨在为邵阳市北塔区高撑小学提高学校硬件设施的质量；改善教学环境，属于公共财政支持范围</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投入经济性（20）</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投入合理性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①项目投入资源及成本是否与预期产出及效果相匹配；②投入成本是否合理，成本测算依据是否充分；③其他渠道是否有充分投入。</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有相关测算明细，无相关成本测算依据</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成本控制措施有效性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项目是否采取相关成本控制措施，成本控制措施是否有效。</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项目已采取有效的成本控制措施</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绩效目标合理性（20）</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目标明确性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①绩效目标设定是否明确；②与部门长期规划目标、年度工作目标是否一致；③项目受益群体定位是否准确；④绩效目标和指标设置是否与项目高度相关。</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绩效目标明确性不高</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目标合理性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①绩效目标与项目预计解决的问题是否匹配；②绩效目标与现实需求是否匹配；③绩效目标是否具有一定的前瞻性和挑战性；④绩效指标是否细化、量化，指标值是否合理。</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绩效指标不够细化、量化</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实施方案有效性（20分）</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实施内容明确性</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项目内容是否明确、具体，与绩效目标是否匹配。</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项目内容明确、具体，与绩效目标相匹配</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项目时效性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项目是否明确设立、退出时限；项目清理、退出、调整机制是否健全。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项目无明确设立、退出时限；项目清理、退出、调整机制不健全</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实施方案可行性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①项目技术路线是否完整、先进、可行、合理，与项目内容及绩效目标是否匹配；②项目组织、进度安排是否合理；③与项目有关的基础设施条件是否能够得以有效保障。</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实施方案整体可行</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过程控制有效性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项目申报、审批、调整及项目资金申请、审批、拨付等方面已履行或计划履行的程序是否规范；②项目组织机构是否健全、职责分工是否明确、项目人员条件是否与项目有关并得以有效保障；③业务管理制度、技术规程、标准是否健全、完善，以前年度业务制度执行是否出现过问题，相关业务方面问题是否得到有效解决并配有相应的保障措施；④项目执行过程是否设立管控措施、机制等，相关措施、机制是否能够保证项目顺利实施。</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项目执行过程无相关的管控机制</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筹资合规性（20）</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筹资合规性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①资金来源渠道是否符合相关规定；②资金筹措程序是否科学规范，是否经过相关论证，论证资料是否齐全；③资金筹措是否体现权责对等，财权和事权是否匹配。</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项目资金来源全部为区级财政预算资金，有相关的会议纪要</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财政投入能力</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①各级财政资金配套方式和承受能力是否科学合理；②各级财政部门和其他部门是否有类似项目资金重复投入；③财政资金支持方式是否科学合理。</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义务阶段教育涉及重大民生，关乎老百姓切身利益，财政资金应优先保障。项目资金来源全部为区级财政预算资金，建设资金在财政承受能力范围之内</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筹资风险可控性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①对筹资风险认识是否全面；②是否针对预期风险设定应对措施；③应对措施是否可行、有效。</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对筹资风险认识较全面；针对预期风险设定了有效的应对措施</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r>
    </w:tbl>
    <w:p>
      <w:bookmarkStart w:id="4" w:name="_GoBack"/>
      <w:bookmarkEnd w:id="4"/>
    </w:p>
    <w:p/>
    <w:p/>
    <w:p/>
    <w:p/>
    <w:p/>
    <w:p/>
    <w:p/>
    <w:p>
      <w:pPr>
        <w:pStyle w:val="11"/>
        <w:rPr>
          <w:rFonts w:hint="eastAsia"/>
          <w:lang w:val="en-US" w:eastAsia="zh-CN"/>
        </w:rPr>
      </w:pP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5F8DC"/>
    <w:multiLevelType w:val="singleLevel"/>
    <w:tmpl w:val="FAF5F8DC"/>
    <w:lvl w:ilvl="0" w:tentative="0">
      <w:start w:val="2"/>
      <w:numFmt w:val="decimal"/>
      <w:suff w:val="nothing"/>
      <w:lvlText w:val="%1、"/>
      <w:lvlJc w:val="left"/>
    </w:lvl>
  </w:abstractNum>
  <w:abstractNum w:abstractNumId="1">
    <w:nsid w:val="77BC6FE8"/>
    <w:multiLevelType w:val="singleLevel"/>
    <w:tmpl w:val="77BC6FE8"/>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YjljZGQ0MTVhMjkwZDViNDNlMzY2NTFjMWYyNTkifQ=="/>
  </w:docVars>
  <w:rsids>
    <w:rsidRoot w:val="50435A6B"/>
    <w:rsid w:val="01E53AAB"/>
    <w:rsid w:val="03885D39"/>
    <w:rsid w:val="03B06C41"/>
    <w:rsid w:val="04D94B9F"/>
    <w:rsid w:val="05E530D0"/>
    <w:rsid w:val="07C841E2"/>
    <w:rsid w:val="0D4932A4"/>
    <w:rsid w:val="0D6B7290"/>
    <w:rsid w:val="14355229"/>
    <w:rsid w:val="17AF353E"/>
    <w:rsid w:val="17F3167D"/>
    <w:rsid w:val="1CE7377A"/>
    <w:rsid w:val="2AE26232"/>
    <w:rsid w:val="2D7C1CBC"/>
    <w:rsid w:val="2F945C9C"/>
    <w:rsid w:val="37103BA1"/>
    <w:rsid w:val="38F53F2D"/>
    <w:rsid w:val="394A0EC1"/>
    <w:rsid w:val="3F7DD4A7"/>
    <w:rsid w:val="418C651A"/>
    <w:rsid w:val="46572C27"/>
    <w:rsid w:val="471072A6"/>
    <w:rsid w:val="494A6E7B"/>
    <w:rsid w:val="4D580F33"/>
    <w:rsid w:val="4E825AE3"/>
    <w:rsid w:val="4F18319B"/>
    <w:rsid w:val="4F3F71FC"/>
    <w:rsid w:val="50435A6B"/>
    <w:rsid w:val="511856D5"/>
    <w:rsid w:val="5AE8436A"/>
    <w:rsid w:val="5BEF7D05"/>
    <w:rsid w:val="5C735EB5"/>
    <w:rsid w:val="5D7D47EF"/>
    <w:rsid w:val="5D91299B"/>
    <w:rsid w:val="5EFF11EA"/>
    <w:rsid w:val="5EFFA127"/>
    <w:rsid w:val="5FE71B41"/>
    <w:rsid w:val="5FEF3F93"/>
    <w:rsid w:val="6297F659"/>
    <w:rsid w:val="62A56FE4"/>
    <w:rsid w:val="65451E6A"/>
    <w:rsid w:val="6908207B"/>
    <w:rsid w:val="696D1EDE"/>
    <w:rsid w:val="69F66377"/>
    <w:rsid w:val="6D350F65"/>
    <w:rsid w:val="6EF2710D"/>
    <w:rsid w:val="6FBD0E8F"/>
    <w:rsid w:val="6FC910A8"/>
    <w:rsid w:val="6FFE1C05"/>
    <w:rsid w:val="6FFF2616"/>
    <w:rsid w:val="716B31A7"/>
    <w:rsid w:val="728A58AF"/>
    <w:rsid w:val="74626AE3"/>
    <w:rsid w:val="76607052"/>
    <w:rsid w:val="77DB0268"/>
    <w:rsid w:val="788A485A"/>
    <w:rsid w:val="7EB75FB9"/>
    <w:rsid w:val="7F930FEA"/>
    <w:rsid w:val="7FDD629D"/>
    <w:rsid w:val="ABFF39F6"/>
    <w:rsid w:val="AFDF2DAA"/>
    <w:rsid w:val="BBF595E8"/>
    <w:rsid w:val="BDFD74DF"/>
    <w:rsid w:val="CE7E66A5"/>
    <w:rsid w:val="DE7DFA31"/>
    <w:rsid w:val="EBED929F"/>
    <w:rsid w:val="FD6F52D5"/>
    <w:rsid w:val="FE70C99B"/>
    <w:rsid w:val="FFED8C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12" w:lineRule="auto"/>
      <w:jc w:val="center"/>
      <w:outlineLvl w:val="1"/>
    </w:pPr>
    <w:rPr>
      <w:rFonts w:ascii="Cambria" w:hAnsi="Cambria" w:cs="宋体"/>
      <w:b/>
      <w:bCs/>
      <w:sz w:val="36"/>
      <w:szCs w:val="32"/>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keepNext w:val="0"/>
      <w:keepLines w:val="0"/>
      <w:widowControl w:val="0"/>
      <w:suppressLineNumbers w:val="0"/>
      <w:adjustRightInd w:val="0"/>
      <w:spacing w:before="0" w:beforeAutospacing="0" w:after="0" w:afterAutospacing="0" w:line="312" w:lineRule="atLeast"/>
      <w:ind w:left="0" w:right="0" w:firstLine="420" w:firstLineChars="0"/>
      <w:jc w:val="both"/>
      <w:textAlignment w:val="baseline"/>
    </w:pPr>
    <w:rPr>
      <w:rFonts w:hint="default" w:ascii="Times New Roman" w:hAnsi="Times New Roman" w:eastAsia="宋体" w:cs="Times New Roman"/>
      <w:kern w:val="0"/>
      <w:sz w:val="21"/>
      <w:szCs w:val="21"/>
      <w:lang w:val="en-US" w:eastAsia="zh-CN" w:bidi="ar"/>
    </w:rPr>
  </w:style>
  <w:style w:type="paragraph" w:styleId="4">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1"/>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customStyle="1" w:styleId="12">
    <w:name w:val="无间隔1"/>
    <w:qFormat/>
    <w:uiPriority w:val="0"/>
    <w:pPr>
      <w:widowControl w:val="0"/>
      <w:spacing w:beforeLines="50"/>
      <w:jc w:val="center"/>
    </w:pPr>
    <w:rPr>
      <w:rFonts w:ascii="Times New Roman" w:hAnsi="Times New Roman" w:eastAsia="仿宋_GB2312" w:cs="Times New Roman"/>
      <w:kern w:val="2"/>
      <w:sz w:val="24"/>
      <w:szCs w:val="22"/>
      <w:lang w:val="en-US" w:eastAsia="zh-CN" w:bidi="ar-SA"/>
    </w:rPr>
  </w:style>
  <w:style w:type="character" w:customStyle="1" w:styleId="13">
    <w:name w:val="font41"/>
    <w:basedOn w:val="10"/>
    <w:qFormat/>
    <w:uiPriority w:val="0"/>
    <w:rPr>
      <w:rFonts w:ascii="Calibri" w:hAnsi="Calibri" w:cs="Calibri"/>
      <w:b/>
      <w:bCs/>
      <w:color w:val="000000"/>
      <w:sz w:val="22"/>
      <w:szCs w:val="22"/>
      <w:u w:val="none"/>
    </w:rPr>
  </w:style>
  <w:style w:type="character" w:customStyle="1" w:styleId="14">
    <w:name w:val="font31"/>
    <w:basedOn w:val="10"/>
    <w:qFormat/>
    <w:uiPriority w:val="0"/>
    <w:rPr>
      <w:rFonts w:hint="eastAsia" w:ascii="宋体" w:hAnsi="宋体" w:eastAsia="宋体" w:cs="宋体"/>
      <w:b/>
      <w:bCs/>
      <w:color w:val="000000"/>
      <w:sz w:val="22"/>
      <w:szCs w:val="22"/>
      <w:u w:val="none"/>
    </w:rPr>
  </w:style>
  <w:style w:type="character" w:customStyle="1" w:styleId="15">
    <w:name w:val="font01"/>
    <w:basedOn w:val="10"/>
    <w:qFormat/>
    <w:uiPriority w:val="0"/>
    <w:rPr>
      <w:rFonts w:hint="default" w:ascii="Calibri" w:hAnsi="Calibri" w:cs="Calibri"/>
      <w:color w:val="000000"/>
      <w:sz w:val="22"/>
      <w:szCs w:val="22"/>
      <w:u w:val="none"/>
    </w:rPr>
  </w:style>
  <w:style w:type="character" w:customStyle="1" w:styleId="16">
    <w:name w:val="font51"/>
    <w:basedOn w:val="10"/>
    <w:qFormat/>
    <w:uiPriority w:val="0"/>
    <w:rPr>
      <w:rFonts w:hint="eastAsia" w:ascii="宋体" w:hAnsi="宋体" w:eastAsia="宋体" w:cs="宋体"/>
      <w:color w:val="000000"/>
      <w:sz w:val="22"/>
      <w:szCs w:val="22"/>
      <w:u w:val="none"/>
    </w:rPr>
  </w:style>
  <w:style w:type="character" w:customStyle="1" w:styleId="17">
    <w:name w:val="font11"/>
    <w:basedOn w:val="10"/>
    <w:uiPriority w:val="0"/>
    <w:rPr>
      <w:rFonts w:hint="eastAsia" w:ascii="宋体" w:hAnsi="宋体" w:eastAsia="宋体" w:cs="宋体"/>
      <w:b/>
      <w:bCs/>
      <w:color w:val="000000"/>
      <w:sz w:val="20"/>
      <w:szCs w:val="20"/>
      <w:u w:val="none"/>
    </w:rPr>
  </w:style>
  <w:style w:type="character" w:customStyle="1" w:styleId="18">
    <w:name w:val="font21"/>
    <w:basedOn w:val="10"/>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2023-11-22T15:22:00Z</dcterms:created>
  <dc:creator>lxy</dc:creator>
  <cp:lastModifiedBy>小鲸怡</cp:lastModifiedBy>
  <dcterms:modified xsi:type="dcterms:W3CDTF">2023-12-18T07:26:17Z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AD53664B35B04C86929FA5BE02B3A3B1_13</vt:lpwstr>
  </property>
</Properties>
</file>