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jc w:val="center"/>
        <w:outlineLvl w:val="0"/>
        <w:rPr>
          <w:rFonts w:ascii="宋体" w:hAnsi="宋体"/>
          <w:b/>
          <w:sz w:val="44"/>
          <w:szCs w:val="44"/>
        </w:rPr>
      </w:pPr>
      <w:bookmarkStart w:id="0" w:name="_Toc22427"/>
    </w:p>
    <w:p>
      <w:pPr>
        <w:adjustRightInd w:val="0"/>
        <w:snapToGrid w:val="0"/>
        <w:spacing w:before="120" w:after="120"/>
        <w:jc w:val="center"/>
        <w:outlineLvl w:val="0"/>
        <w:rPr>
          <w:rFonts w:ascii="宋体" w:hAnsi="宋体"/>
          <w:b/>
          <w:sz w:val="44"/>
          <w:szCs w:val="44"/>
        </w:rPr>
      </w:pPr>
    </w:p>
    <w:p>
      <w:pPr>
        <w:adjustRightInd w:val="0"/>
        <w:snapToGrid w:val="0"/>
        <w:spacing w:before="120" w:after="120"/>
        <w:jc w:val="center"/>
        <w:outlineLvl w:val="0"/>
        <w:rPr>
          <w:rFonts w:ascii="宋体" w:hAnsi="宋体"/>
          <w:b/>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b/>
          <w:sz w:val="52"/>
          <w:szCs w:val="52"/>
        </w:rPr>
      </w:pPr>
      <w:bookmarkStart w:id="1" w:name="_Toc16947"/>
      <w:bookmarkStart w:id="2" w:name="_Toc23718"/>
      <w:bookmarkStart w:id="3" w:name="_Toc20141"/>
      <w:bookmarkStart w:id="4" w:name="_Toc5312"/>
      <w:r>
        <w:rPr>
          <w:rFonts w:hint="eastAsia" w:ascii="黑体" w:hAnsi="黑体" w:eastAsia="黑体"/>
          <w:b/>
          <w:sz w:val="52"/>
          <w:szCs w:val="52"/>
        </w:rPr>
        <w:t>上海市闵行区</w:t>
      </w:r>
      <w:bookmarkEnd w:id="0"/>
      <w:bookmarkStart w:id="5" w:name="_Toc27972"/>
      <w:r>
        <w:rPr>
          <w:rFonts w:hint="eastAsia" w:ascii="黑体" w:hAnsi="黑体" w:eastAsia="黑体"/>
          <w:b/>
          <w:sz w:val="52"/>
          <w:szCs w:val="52"/>
        </w:rPr>
        <w:t>农业农村委员会</w:t>
      </w:r>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b/>
          <w:sz w:val="52"/>
          <w:szCs w:val="52"/>
          <w:lang w:val="en-US" w:eastAsia="zh-CN"/>
        </w:rPr>
      </w:pPr>
      <w:r>
        <w:rPr>
          <w:rFonts w:hint="eastAsia" w:ascii="黑体" w:hAnsi="黑体" w:eastAsia="黑体"/>
          <w:b/>
          <w:sz w:val="52"/>
          <w:szCs w:val="52"/>
        </w:rPr>
        <w:t>2023年农村人居环境长效管护奖励资金</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b/>
          <w:sz w:val="52"/>
          <w:szCs w:val="52"/>
        </w:rPr>
      </w:pPr>
      <w:bookmarkStart w:id="6" w:name="_Toc370"/>
      <w:bookmarkStart w:id="7" w:name="_Toc497401561"/>
      <w:bookmarkStart w:id="8" w:name="_Toc3116"/>
      <w:bookmarkStart w:id="9" w:name="_Toc31545"/>
      <w:bookmarkStart w:id="10" w:name="_Toc437262435"/>
      <w:bookmarkStart w:id="11" w:name="_Toc24400"/>
      <w:bookmarkStart w:id="12" w:name="_Toc19823"/>
      <w:r>
        <w:rPr>
          <w:rFonts w:hint="eastAsia" w:ascii="黑体" w:hAnsi="黑体" w:eastAsia="黑体"/>
          <w:b/>
          <w:sz w:val="52"/>
          <w:szCs w:val="52"/>
        </w:rPr>
        <w:t>评审报告</w:t>
      </w:r>
      <w:bookmarkEnd w:id="6"/>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黑体" w:eastAsia="黑体"/>
          <w:b/>
          <w:sz w:val="52"/>
          <w:szCs w:val="52"/>
        </w:rPr>
      </w:pPr>
      <w:r>
        <w:rPr>
          <w:rFonts w:hint="eastAsia" w:ascii="黑体" w:hAnsi="黑体" w:eastAsia="黑体"/>
          <w:b/>
          <w:sz w:val="52"/>
          <w:szCs w:val="52"/>
        </w:rPr>
        <w:t>（2023年度）</w:t>
      </w:r>
    </w:p>
    <w:p>
      <w:pPr>
        <w:adjustRightInd w:val="0"/>
        <w:snapToGrid w:val="0"/>
        <w:spacing w:line="360" w:lineRule="auto"/>
        <w:jc w:val="center"/>
        <w:rPr>
          <w:rFonts w:hint="eastAsia" w:ascii="黑体" w:hAnsi="黑体" w:eastAsia="黑体" w:cs="黑体"/>
          <w:kern w:val="0"/>
          <w:sz w:val="52"/>
          <w:szCs w:val="52"/>
          <w:lang w:bidi="en-US"/>
        </w:rPr>
      </w:pPr>
    </w:p>
    <w:p>
      <w:pPr>
        <w:adjustRightInd w:val="0"/>
        <w:snapToGrid w:val="0"/>
        <w:spacing w:line="360" w:lineRule="auto"/>
        <w:jc w:val="center"/>
        <w:rPr>
          <w:rFonts w:hint="eastAsia" w:ascii="黑体" w:hAnsi="黑体" w:eastAsia="黑体" w:cs="黑体"/>
          <w:kern w:val="0"/>
          <w:sz w:val="52"/>
          <w:szCs w:val="52"/>
          <w:lang w:bidi="en-US"/>
        </w:rPr>
      </w:pPr>
    </w:p>
    <w:p>
      <w:pPr>
        <w:adjustRightInd w:val="0"/>
        <w:snapToGrid w:val="0"/>
        <w:spacing w:line="360" w:lineRule="auto"/>
        <w:jc w:val="center"/>
        <w:rPr>
          <w:rFonts w:hint="eastAsia" w:ascii="黑体" w:hAnsi="黑体" w:eastAsia="黑体" w:cs="黑体"/>
          <w:kern w:val="0"/>
          <w:sz w:val="52"/>
          <w:szCs w:val="52"/>
          <w:lang w:bidi="en-US"/>
        </w:rPr>
      </w:pPr>
    </w:p>
    <w:p>
      <w:pPr>
        <w:adjustRightInd w:val="0"/>
        <w:snapToGrid w:val="0"/>
        <w:spacing w:line="360" w:lineRule="auto"/>
        <w:ind w:left="3195" w:leftChars="912" w:hanging="1280" w:hangingChars="400"/>
        <w:jc w:val="left"/>
        <w:rPr>
          <w:rFonts w:ascii="黑体" w:hAnsi="黑体" w:eastAsia="黑体"/>
          <w:sz w:val="32"/>
          <w:szCs w:val="32"/>
        </w:rPr>
      </w:pPr>
      <w:r>
        <w:rPr>
          <w:rFonts w:hint="eastAsia" w:ascii="黑体" w:hAnsi="黑体" w:eastAsia="黑体"/>
          <w:sz w:val="32"/>
          <w:szCs w:val="32"/>
        </w:rPr>
        <w:t>项目名称：2023年农村人居环境长效管护奖励资金</w:t>
      </w:r>
    </w:p>
    <w:p>
      <w:pPr>
        <w:adjustRightInd w:val="0"/>
        <w:snapToGrid w:val="0"/>
        <w:spacing w:line="360" w:lineRule="auto"/>
        <w:ind w:firstLine="1920" w:firstLineChars="600"/>
        <w:jc w:val="left"/>
        <w:rPr>
          <w:rFonts w:ascii="黑体" w:hAnsi="黑体" w:eastAsia="黑体"/>
          <w:sz w:val="32"/>
          <w:szCs w:val="32"/>
        </w:rPr>
      </w:pPr>
      <w:r>
        <w:rPr>
          <w:rFonts w:hint="eastAsia" w:ascii="黑体" w:hAnsi="黑体" w:eastAsia="黑体"/>
          <w:sz w:val="32"/>
          <w:szCs w:val="32"/>
        </w:rPr>
        <w:t>项目单位：上海市闵行区农业农村委员会</w:t>
      </w:r>
    </w:p>
    <w:p>
      <w:pPr>
        <w:adjustRightInd w:val="0"/>
        <w:snapToGrid w:val="0"/>
        <w:spacing w:line="360" w:lineRule="auto"/>
        <w:ind w:firstLine="1920" w:firstLineChars="600"/>
        <w:jc w:val="left"/>
        <w:rPr>
          <w:rFonts w:ascii="黑体" w:hAnsi="黑体" w:eastAsia="黑体"/>
          <w:sz w:val="32"/>
          <w:szCs w:val="32"/>
        </w:rPr>
      </w:pPr>
      <w:r>
        <w:rPr>
          <w:rFonts w:hint="eastAsia" w:ascii="黑体" w:hAnsi="黑体" w:eastAsia="黑体"/>
          <w:sz w:val="32"/>
          <w:szCs w:val="32"/>
        </w:rPr>
        <w:t>主管部门：上海市闵行区农业农村委员会</w:t>
      </w:r>
    </w:p>
    <w:p>
      <w:pPr>
        <w:adjustRightInd w:val="0"/>
        <w:snapToGrid w:val="0"/>
        <w:spacing w:line="360" w:lineRule="auto"/>
        <w:ind w:firstLine="1920" w:firstLineChars="600"/>
        <w:jc w:val="left"/>
        <w:rPr>
          <w:rFonts w:ascii="黑体" w:hAnsi="黑体" w:eastAsia="黑体"/>
          <w:sz w:val="32"/>
          <w:szCs w:val="32"/>
        </w:rPr>
      </w:pPr>
    </w:p>
    <w:p>
      <w:pPr>
        <w:adjustRightInd w:val="0"/>
        <w:snapToGrid w:val="0"/>
        <w:spacing w:line="360" w:lineRule="auto"/>
        <w:rPr>
          <w:rFonts w:ascii="宋体" w:hAnsi="宋体"/>
          <w:b/>
          <w:kern w:val="0"/>
          <w:sz w:val="32"/>
          <w:szCs w:val="32"/>
          <w:lang w:bidi="en-US"/>
        </w:rPr>
      </w:pPr>
    </w:p>
    <w:p>
      <w:pPr>
        <w:adjustRightInd w:val="0"/>
        <w:snapToGrid w:val="0"/>
        <w:spacing w:line="360" w:lineRule="auto"/>
        <w:rPr>
          <w:rFonts w:ascii="宋体" w:hAnsi="宋体"/>
          <w:b/>
          <w:kern w:val="0"/>
          <w:sz w:val="32"/>
          <w:szCs w:val="32"/>
          <w:lang w:bidi="en-US"/>
        </w:rPr>
      </w:pPr>
    </w:p>
    <w:p>
      <w:pPr>
        <w:adjustRightInd w:val="0"/>
        <w:snapToGrid w:val="0"/>
        <w:spacing w:line="360" w:lineRule="auto"/>
        <w:jc w:val="center"/>
        <w:rPr>
          <w:rFonts w:ascii="黑体" w:hAnsi="黑体" w:eastAsia="黑体"/>
          <w:bCs/>
          <w:sz w:val="36"/>
          <w:szCs w:val="36"/>
        </w:rPr>
      </w:pPr>
      <w:r>
        <w:rPr>
          <w:rFonts w:hint="eastAsia" w:ascii="黑体" w:hAnsi="黑体" w:eastAsia="黑体"/>
          <w:bCs/>
          <w:kern w:val="0"/>
          <w:sz w:val="36"/>
          <w:szCs w:val="36"/>
          <w:lang w:bidi="en-US"/>
        </w:rPr>
        <w:t>202</w:t>
      </w:r>
      <w:r>
        <w:rPr>
          <w:rFonts w:ascii="黑体" w:hAnsi="黑体" w:eastAsia="黑体"/>
          <w:bCs/>
          <w:kern w:val="0"/>
          <w:sz w:val="36"/>
          <w:szCs w:val="36"/>
          <w:lang w:bidi="en-US"/>
        </w:rPr>
        <w:t>2</w:t>
      </w:r>
      <w:r>
        <w:rPr>
          <w:rFonts w:hint="eastAsia" w:ascii="黑体" w:hAnsi="黑体" w:eastAsia="黑体"/>
          <w:bCs/>
          <w:kern w:val="0"/>
          <w:sz w:val="36"/>
          <w:szCs w:val="36"/>
          <w:lang w:bidi="en-US"/>
        </w:rPr>
        <w:t>年1</w:t>
      </w:r>
      <w:r>
        <w:rPr>
          <w:rFonts w:hint="eastAsia" w:ascii="黑体" w:hAnsi="黑体" w:eastAsia="黑体"/>
          <w:bCs/>
          <w:kern w:val="0"/>
          <w:sz w:val="36"/>
          <w:szCs w:val="36"/>
          <w:lang w:val="en-US" w:eastAsia="zh-CN" w:bidi="en-US"/>
        </w:rPr>
        <w:t>2</w:t>
      </w:r>
      <w:r>
        <w:rPr>
          <w:rFonts w:hint="eastAsia" w:ascii="黑体" w:hAnsi="黑体" w:eastAsia="黑体"/>
          <w:bCs/>
          <w:kern w:val="0"/>
          <w:sz w:val="36"/>
          <w:szCs w:val="36"/>
          <w:lang w:bidi="en-US"/>
        </w:rPr>
        <w:t>月</w:t>
      </w:r>
    </w:p>
    <w:p>
      <w:pPr>
        <w:adjustRightInd w:val="0"/>
        <w:snapToGrid w:val="0"/>
        <w:ind w:right="395" w:rightChars="188"/>
        <w:jc w:val="center"/>
        <w:rPr>
          <w:rFonts w:ascii="宋体" w:hAnsi="宋体"/>
          <w:sz w:val="32"/>
          <w:szCs w:val="32"/>
          <w:lang w:val="zh-CN"/>
        </w:rPr>
        <w:sectPr>
          <w:pgSz w:w="11906" w:h="16838"/>
          <w:pgMar w:top="1134" w:right="1134" w:bottom="1134" w:left="1134" w:header="851" w:footer="992" w:gutter="0"/>
          <w:pgNumType w:start="1"/>
          <w:cols w:space="425" w:num="1"/>
          <w:docGrid w:linePitch="312" w:charSpace="0"/>
        </w:sectPr>
      </w:pPr>
    </w:p>
    <w:p>
      <w:pPr>
        <w:adjustRightInd w:val="0"/>
        <w:snapToGrid w:val="0"/>
        <w:ind w:right="395" w:rightChars="188"/>
        <w:jc w:val="center"/>
        <w:rPr>
          <w:rFonts w:ascii="宋体" w:hAnsi="宋体"/>
          <w:sz w:val="32"/>
          <w:szCs w:val="32"/>
          <w:lang w:val="zh-CN"/>
        </w:rPr>
      </w:pPr>
    </w:p>
    <w:p>
      <w:pPr>
        <w:widowControl/>
        <w:adjustRightInd w:val="0"/>
        <w:snapToGrid w:val="0"/>
        <w:jc w:val="left"/>
        <w:rPr>
          <w:rFonts w:ascii="宋体" w:hAnsi="宋体"/>
          <w:sz w:val="32"/>
          <w:szCs w:val="32"/>
          <w:lang w:val="zh-CN"/>
        </w:rPr>
      </w:pPr>
      <w:r>
        <w:rPr>
          <w:rFonts w:ascii="宋体" w:hAnsi="宋体"/>
          <w:sz w:val="32"/>
          <w:szCs w:val="32"/>
          <w:lang w:val="zh-CN"/>
        </w:rPr>
        <w:br w:type="page"/>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b/>
          <w:bCs/>
          <w:sz w:val="32"/>
          <w:szCs w:val="32"/>
          <w:lang w:val="zh-CN"/>
        </w:rPr>
      </w:pPr>
      <w:r>
        <w:rPr>
          <w:rFonts w:hint="eastAsia" w:ascii="黑体" w:hAnsi="黑体" w:eastAsia="黑体"/>
          <w:b/>
          <w:bCs/>
          <w:sz w:val="32"/>
          <w:szCs w:val="32"/>
          <w:lang w:val="zh-CN"/>
        </w:rPr>
        <w:t>目 录</w:t>
      </w: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b/>
          <w:bCs/>
          <w:sz w:val="32"/>
          <w:szCs w:val="32"/>
          <w:lang w:val="zh-CN"/>
        </w:rPr>
      </w:pPr>
    </w:p>
    <w:p>
      <w:pPr>
        <w:pStyle w:val="9"/>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textAlignment w:val="auto"/>
        <w:rPr>
          <w:rFonts w:hint="eastAsia" w:ascii="黑体" w:hAnsi="黑体" w:eastAsia="黑体" w:cs="黑体"/>
          <w:sz w:val="28"/>
          <w:szCs w:val="28"/>
        </w:rPr>
      </w:pPr>
      <w:bookmarkStart w:id="13" w:name="_Toc310331370"/>
      <w:r>
        <w:rPr>
          <w:rFonts w:ascii="宋体" w:hAnsi="宋体" w:cs="宋体"/>
          <w:sz w:val="28"/>
          <w:szCs w:val="28"/>
          <w:shd w:val="clear" w:color="auto" w:fill="FFFFFF"/>
        </w:rPr>
        <w:fldChar w:fldCharType="begin"/>
      </w:r>
      <w:r>
        <w:rPr>
          <w:rFonts w:ascii="宋体" w:hAnsi="宋体" w:cs="宋体"/>
          <w:sz w:val="28"/>
          <w:szCs w:val="28"/>
          <w:shd w:val="clear" w:color="auto" w:fill="FFFFFF"/>
        </w:rPr>
        <w:instrText xml:space="preserve">TOC \o "1-3" \h \u </w:instrText>
      </w:r>
      <w:r>
        <w:rPr>
          <w:rFonts w:ascii="宋体" w:hAnsi="宋体" w:cs="宋体"/>
          <w:sz w:val="28"/>
          <w:szCs w:val="28"/>
          <w:shd w:val="clear" w:color="auto" w:fill="FFFFFF"/>
        </w:rPr>
        <w:fldChar w:fldCharType="separate"/>
      </w:r>
      <w:r>
        <w:rPr>
          <w:rFonts w:hint="eastAsia" w:ascii="黑体" w:hAnsi="黑体" w:eastAsia="黑体" w:cs="黑体"/>
          <w:sz w:val="28"/>
          <w:szCs w:val="28"/>
          <w:shd w:val="clear" w:color="auto" w:fill="FFFFFF"/>
        </w:rPr>
        <w:fldChar w:fldCharType="begin"/>
      </w:r>
      <w:r>
        <w:rPr>
          <w:rFonts w:hint="eastAsia" w:ascii="黑体" w:hAnsi="黑体" w:eastAsia="黑体" w:cs="黑体"/>
          <w:sz w:val="28"/>
          <w:szCs w:val="28"/>
          <w:shd w:val="clear" w:color="auto" w:fill="FFFFFF"/>
        </w:rPr>
        <w:instrText xml:space="preserve"> HYPERLINK \l _Toc22367 </w:instrText>
      </w:r>
      <w:r>
        <w:rPr>
          <w:rFonts w:hint="eastAsia" w:ascii="黑体" w:hAnsi="黑体" w:eastAsia="黑体" w:cs="黑体"/>
          <w:sz w:val="28"/>
          <w:szCs w:val="28"/>
          <w:shd w:val="clear" w:color="auto" w:fill="FFFFFF"/>
        </w:rPr>
        <w:fldChar w:fldCharType="separate"/>
      </w:r>
      <w:r>
        <w:rPr>
          <w:rFonts w:hint="eastAsia" w:ascii="黑体" w:hAnsi="黑体" w:eastAsia="黑体" w:cs="黑体"/>
          <w:bCs w:val="0"/>
          <w:kern w:val="2"/>
          <w:sz w:val="28"/>
          <w:szCs w:val="28"/>
          <w:lang w:val="en-US" w:eastAsia="zh-CN" w:bidi="ar-SA"/>
        </w:rPr>
        <w:t>一、项目概况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_Toc22367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shd w:val="clear" w:color="auto" w:fill="FFFFFF"/>
        </w:rPr>
        <w:fldChar w:fldCharType="end"/>
      </w:r>
    </w:p>
    <w:p>
      <w:pPr>
        <w:pStyle w:val="11"/>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ind w:left="0" w:leftChars="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fldChar w:fldCharType="begin"/>
      </w:r>
      <w:r>
        <w:rPr>
          <w:rFonts w:hint="eastAsia" w:ascii="仿宋_GB2312" w:hAnsi="仿宋_GB2312" w:eastAsia="仿宋_GB2312" w:cs="仿宋_GB2312"/>
          <w:sz w:val="28"/>
          <w:szCs w:val="28"/>
          <w:shd w:val="clear" w:color="auto" w:fill="FFFFFF"/>
        </w:rPr>
        <w:instrText xml:space="preserve"> HYPERLINK \l _Toc23448 </w:instrText>
      </w:r>
      <w:r>
        <w:rPr>
          <w:rFonts w:hint="eastAsia" w:ascii="仿宋_GB2312" w:hAnsi="仿宋_GB2312" w:eastAsia="仿宋_GB2312" w:cs="仿宋_GB2312"/>
          <w:sz w:val="28"/>
          <w:szCs w:val="28"/>
          <w:shd w:val="clear" w:color="auto" w:fill="FFFFFF"/>
        </w:rPr>
        <w:fldChar w:fldCharType="separate"/>
      </w:r>
      <w:r>
        <w:rPr>
          <w:rFonts w:hint="eastAsia" w:ascii="仿宋_GB2312" w:hAnsi="仿宋_GB2312" w:eastAsia="仿宋_GB2312" w:cs="仿宋_GB2312"/>
          <w:bCs w:val="0"/>
          <w:sz w:val="28"/>
          <w:szCs w:val="28"/>
        </w:rPr>
        <w:t>（一）项目背景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_Toc23448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shd w:val="clear" w:color="auto" w:fill="FFFFFF"/>
        </w:rPr>
        <w:fldChar w:fldCharType="end"/>
      </w:r>
    </w:p>
    <w:p>
      <w:pPr>
        <w:pStyle w:val="11"/>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ind w:left="0" w:leftChars="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fldChar w:fldCharType="begin"/>
      </w:r>
      <w:r>
        <w:rPr>
          <w:rFonts w:hint="eastAsia" w:ascii="仿宋_GB2312" w:hAnsi="仿宋_GB2312" w:eastAsia="仿宋_GB2312" w:cs="仿宋_GB2312"/>
          <w:sz w:val="28"/>
          <w:szCs w:val="28"/>
          <w:shd w:val="clear" w:color="auto" w:fill="FFFFFF"/>
        </w:rPr>
        <w:instrText xml:space="preserve"> HYPERLINK \l _Toc6002 </w:instrText>
      </w:r>
      <w:r>
        <w:rPr>
          <w:rFonts w:hint="eastAsia" w:ascii="仿宋_GB2312" w:hAnsi="仿宋_GB2312" w:eastAsia="仿宋_GB2312" w:cs="仿宋_GB2312"/>
          <w:sz w:val="28"/>
          <w:szCs w:val="28"/>
          <w:shd w:val="clear" w:color="auto" w:fill="FFFFFF"/>
        </w:rPr>
        <w:fldChar w:fldCharType="separate"/>
      </w:r>
      <w:r>
        <w:rPr>
          <w:rFonts w:hint="eastAsia" w:ascii="仿宋_GB2312" w:hAnsi="仿宋_GB2312" w:eastAsia="仿宋_GB2312" w:cs="仿宋_GB2312"/>
          <w:bCs w:val="0"/>
          <w:sz w:val="28"/>
          <w:szCs w:val="28"/>
        </w:rPr>
        <w:t>（二）项目内容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_Toc6002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shd w:val="clear" w:color="auto" w:fill="FFFFFF"/>
        </w:rPr>
        <w:fldChar w:fldCharType="end"/>
      </w:r>
    </w:p>
    <w:p>
      <w:pPr>
        <w:pStyle w:val="11"/>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ind w:left="0" w:leftChars="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fldChar w:fldCharType="begin"/>
      </w:r>
      <w:r>
        <w:rPr>
          <w:rFonts w:hint="eastAsia" w:ascii="仿宋_GB2312" w:hAnsi="仿宋_GB2312" w:eastAsia="仿宋_GB2312" w:cs="仿宋_GB2312"/>
          <w:sz w:val="28"/>
          <w:szCs w:val="28"/>
          <w:shd w:val="clear" w:color="auto" w:fill="FFFFFF"/>
        </w:rPr>
        <w:instrText xml:space="preserve"> HYPERLINK \l _Toc29507 </w:instrText>
      </w:r>
      <w:r>
        <w:rPr>
          <w:rFonts w:hint="eastAsia" w:ascii="仿宋_GB2312" w:hAnsi="仿宋_GB2312" w:eastAsia="仿宋_GB2312" w:cs="仿宋_GB2312"/>
          <w:sz w:val="28"/>
          <w:szCs w:val="28"/>
          <w:shd w:val="clear" w:color="auto" w:fill="FFFFFF"/>
        </w:rPr>
        <w:fldChar w:fldCharType="separate"/>
      </w:r>
      <w:r>
        <w:rPr>
          <w:rFonts w:hint="eastAsia" w:ascii="仿宋_GB2312" w:hAnsi="仿宋_GB2312" w:eastAsia="仿宋_GB2312" w:cs="仿宋_GB2312"/>
          <w:sz w:val="28"/>
          <w:szCs w:val="28"/>
        </w:rPr>
        <w:t>（三）项目预算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_Toc29507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shd w:val="clear" w:color="auto" w:fill="FFFFFF"/>
        </w:rPr>
        <w:fldChar w:fldCharType="end"/>
      </w:r>
    </w:p>
    <w:p>
      <w:pPr>
        <w:pStyle w:val="11"/>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ind w:left="0" w:leftChars="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fldChar w:fldCharType="begin"/>
      </w:r>
      <w:r>
        <w:rPr>
          <w:rFonts w:hint="eastAsia" w:ascii="仿宋_GB2312" w:hAnsi="仿宋_GB2312" w:eastAsia="仿宋_GB2312" w:cs="仿宋_GB2312"/>
          <w:sz w:val="28"/>
          <w:szCs w:val="28"/>
          <w:shd w:val="clear" w:color="auto" w:fill="FFFFFF"/>
        </w:rPr>
        <w:instrText xml:space="preserve"> HYPERLINK \l _Toc14051 </w:instrText>
      </w:r>
      <w:r>
        <w:rPr>
          <w:rFonts w:hint="eastAsia" w:ascii="仿宋_GB2312" w:hAnsi="仿宋_GB2312" w:eastAsia="仿宋_GB2312" w:cs="仿宋_GB2312"/>
          <w:sz w:val="28"/>
          <w:szCs w:val="28"/>
          <w:shd w:val="clear" w:color="auto" w:fill="FFFFFF"/>
        </w:rPr>
        <w:fldChar w:fldCharType="separate"/>
      </w: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rPr>
        <w:t>绩效目标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_Toc14051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shd w:val="clear" w:color="auto" w:fill="FFFFFF"/>
        </w:rPr>
        <w:fldChar w:fldCharType="end"/>
      </w:r>
    </w:p>
    <w:p>
      <w:pPr>
        <w:pStyle w:val="9"/>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textAlignment w:val="auto"/>
        <w:rPr>
          <w:rFonts w:hint="eastAsia" w:ascii="黑体" w:hAnsi="黑体" w:eastAsia="黑体" w:cs="黑体"/>
          <w:sz w:val="28"/>
          <w:szCs w:val="28"/>
        </w:rPr>
      </w:pPr>
      <w:r>
        <w:rPr>
          <w:rFonts w:hint="eastAsia" w:ascii="黑体" w:hAnsi="黑体" w:eastAsia="黑体" w:cs="黑体"/>
          <w:sz w:val="28"/>
          <w:szCs w:val="28"/>
          <w:shd w:val="clear" w:color="auto" w:fill="FFFFFF"/>
        </w:rPr>
        <w:fldChar w:fldCharType="begin"/>
      </w:r>
      <w:r>
        <w:rPr>
          <w:rFonts w:hint="eastAsia" w:ascii="黑体" w:hAnsi="黑体" w:eastAsia="黑体" w:cs="黑体"/>
          <w:sz w:val="28"/>
          <w:szCs w:val="28"/>
          <w:shd w:val="clear" w:color="auto" w:fill="FFFFFF"/>
        </w:rPr>
        <w:instrText xml:space="preserve"> HYPERLINK \l _Toc5951 </w:instrText>
      </w:r>
      <w:r>
        <w:rPr>
          <w:rFonts w:hint="eastAsia" w:ascii="黑体" w:hAnsi="黑体" w:eastAsia="黑体" w:cs="黑体"/>
          <w:sz w:val="28"/>
          <w:szCs w:val="28"/>
          <w:shd w:val="clear" w:color="auto" w:fill="FFFFFF"/>
        </w:rPr>
        <w:fldChar w:fldCharType="separate"/>
      </w:r>
      <w:r>
        <w:rPr>
          <w:rFonts w:hint="eastAsia" w:ascii="黑体" w:hAnsi="黑体" w:eastAsia="黑体" w:cs="黑体"/>
          <w:sz w:val="28"/>
          <w:szCs w:val="28"/>
        </w:rPr>
        <w:t>二、项目评审情况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_Toc5951 \h </w:instrText>
      </w:r>
      <w:r>
        <w:rPr>
          <w:rFonts w:hint="eastAsia" w:ascii="黑体" w:hAnsi="黑体" w:eastAsia="黑体" w:cs="黑体"/>
          <w:sz w:val="28"/>
          <w:szCs w:val="28"/>
        </w:rPr>
        <w:fldChar w:fldCharType="separate"/>
      </w:r>
      <w:r>
        <w:rPr>
          <w:rFonts w:hint="eastAsia"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sz w:val="28"/>
          <w:szCs w:val="28"/>
          <w:shd w:val="clear" w:color="auto" w:fill="FFFFFF"/>
        </w:rPr>
        <w:fldChar w:fldCharType="end"/>
      </w:r>
    </w:p>
    <w:p>
      <w:pPr>
        <w:pStyle w:val="9"/>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textAlignment w:val="auto"/>
        <w:rPr>
          <w:rFonts w:hint="eastAsia" w:ascii="黑体" w:hAnsi="黑体" w:eastAsia="黑体" w:cs="黑体"/>
          <w:sz w:val="28"/>
          <w:szCs w:val="28"/>
        </w:rPr>
      </w:pPr>
      <w:r>
        <w:rPr>
          <w:rFonts w:hint="eastAsia" w:ascii="黑体" w:hAnsi="黑体" w:eastAsia="黑体" w:cs="黑体"/>
          <w:sz w:val="28"/>
          <w:szCs w:val="28"/>
          <w:shd w:val="clear" w:color="auto" w:fill="FFFFFF"/>
        </w:rPr>
        <w:fldChar w:fldCharType="begin"/>
      </w:r>
      <w:r>
        <w:rPr>
          <w:rFonts w:hint="eastAsia" w:ascii="黑体" w:hAnsi="黑体" w:eastAsia="黑体" w:cs="黑体"/>
          <w:sz w:val="28"/>
          <w:szCs w:val="28"/>
          <w:shd w:val="clear" w:color="auto" w:fill="FFFFFF"/>
        </w:rPr>
        <w:instrText xml:space="preserve"> HYPERLINK \l _Toc8998 </w:instrText>
      </w:r>
      <w:r>
        <w:rPr>
          <w:rFonts w:hint="eastAsia" w:ascii="黑体" w:hAnsi="黑体" w:eastAsia="黑体" w:cs="黑体"/>
          <w:sz w:val="28"/>
          <w:szCs w:val="28"/>
          <w:shd w:val="clear" w:color="auto" w:fill="FFFFFF"/>
        </w:rPr>
        <w:fldChar w:fldCharType="separate"/>
      </w:r>
      <w:r>
        <w:rPr>
          <w:rFonts w:hint="eastAsia" w:ascii="黑体" w:hAnsi="黑体" w:eastAsia="黑体" w:cs="黑体"/>
          <w:sz w:val="28"/>
          <w:szCs w:val="28"/>
        </w:rPr>
        <w:t>三、项目存在问题与改进建议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_Toc8998 \h </w:instrText>
      </w:r>
      <w:r>
        <w:rPr>
          <w:rFonts w:hint="eastAsia" w:ascii="黑体" w:hAnsi="黑体" w:eastAsia="黑体" w:cs="黑体"/>
          <w:sz w:val="28"/>
          <w:szCs w:val="28"/>
        </w:rPr>
        <w:fldChar w:fldCharType="separate"/>
      </w:r>
      <w:r>
        <w:rPr>
          <w:rFonts w:hint="eastAsia"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sz w:val="28"/>
          <w:szCs w:val="28"/>
          <w:shd w:val="clear" w:color="auto" w:fill="FFFFFF"/>
        </w:rPr>
        <w:fldChar w:fldCharType="end"/>
      </w:r>
    </w:p>
    <w:p>
      <w:pPr>
        <w:pStyle w:val="9"/>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textAlignment w:val="auto"/>
        <w:rPr>
          <w:rFonts w:hint="eastAsia" w:ascii="黑体" w:hAnsi="黑体" w:eastAsia="黑体" w:cs="黑体"/>
          <w:sz w:val="28"/>
          <w:szCs w:val="28"/>
        </w:rPr>
      </w:pPr>
      <w:r>
        <w:rPr>
          <w:rFonts w:hint="eastAsia" w:ascii="黑体" w:hAnsi="黑体" w:eastAsia="黑体" w:cs="黑体"/>
          <w:sz w:val="28"/>
          <w:szCs w:val="28"/>
          <w:shd w:val="clear" w:color="auto" w:fill="FFFFFF"/>
        </w:rPr>
        <w:fldChar w:fldCharType="begin"/>
      </w:r>
      <w:r>
        <w:rPr>
          <w:rFonts w:hint="eastAsia" w:ascii="黑体" w:hAnsi="黑体" w:eastAsia="黑体" w:cs="黑体"/>
          <w:sz w:val="28"/>
          <w:szCs w:val="28"/>
          <w:shd w:val="clear" w:color="auto" w:fill="FFFFFF"/>
        </w:rPr>
        <w:instrText xml:space="preserve"> HYPERLINK \l _Toc11371 </w:instrText>
      </w:r>
      <w:r>
        <w:rPr>
          <w:rFonts w:hint="eastAsia" w:ascii="黑体" w:hAnsi="黑体" w:eastAsia="黑体" w:cs="黑体"/>
          <w:sz w:val="28"/>
          <w:szCs w:val="28"/>
          <w:shd w:val="clear" w:color="auto" w:fill="FFFFFF"/>
        </w:rPr>
        <w:fldChar w:fldCharType="separate"/>
      </w:r>
      <w:r>
        <w:rPr>
          <w:rFonts w:hint="eastAsia" w:ascii="黑体" w:hAnsi="黑体" w:eastAsia="黑体" w:cs="黑体"/>
          <w:sz w:val="28"/>
          <w:szCs w:val="28"/>
        </w:rPr>
        <w:t>四、项目预算审核意见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_Toc11371 \h </w:instrText>
      </w:r>
      <w:r>
        <w:rPr>
          <w:rFonts w:hint="eastAsia" w:ascii="黑体" w:hAnsi="黑体" w:eastAsia="黑体" w:cs="黑体"/>
          <w:sz w:val="28"/>
          <w:szCs w:val="28"/>
        </w:rPr>
        <w:fldChar w:fldCharType="separate"/>
      </w:r>
      <w:r>
        <w:rPr>
          <w:rFonts w:hint="eastAsia" w:ascii="黑体" w:hAnsi="黑体" w:eastAsia="黑体" w:cs="黑体"/>
          <w:sz w:val="28"/>
          <w:szCs w:val="28"/>
        </w:rPr>
        <w:t>23</w:t>
      </w:r>
      <w:r>
        <w:rPr>
          <w:rFonts w:hint="eastAsia" w:ascii="黑体" w:hAnsi="黑体" w:eastAsia="黑体" w:cs="黑体"/>
          <w:sz w:val="28"/>
          <w:szCs w:val="28"/>
        </w:rPr>
        <w:fldChar w:fldCharType="end"/>
      </w:r>
      <w:r>
        <w:rPr>
          <w:rFonts w:hint="eastAsia" w:ascii="黑体" w:hAnsi="黑体" w:eastAsia="黑体" w:cs="黑体"/>
          <w:sz w:val="28"/>
          <w:szCs w:val="28"/>
          <w:shd w:val="clear" w:color="auto" w:fill="FFFFFF"/>
        </w:rPr>
        <w:fldChar w:fldCharType="end"/>
      </w:r>
    </w:p>
    <w:p>
      <w:pPr>
        <w:pStyle w:val="9"/>
        <w:keepNext w:val="0"/>
        <w:keepLines w:val="0"/>
        <w:pageBreakBefore w:val="0"/>
        <w:widowControl/>
        <w:tabs>
          <w:tab w:val="right" w:leader="dot" w:pos="9638"/>
        </w:tabs>
        <w:kinsoku/>
        <w:wordWrap/>
        <w:overflowPunct/>
        <w:topLinePunct w:val="0"/>
        <w:autoSpaceDE/>
        <w:autoSpaceDN/>
        <w:bidi w:val="0"/>
        <w:adjustRightInd w:val="0"/>
        <w:snapToGrid w:val="0"/>
        <w:spacing w:after="0" w:line="480" w:lineRule="auto"/>
        <w:textAlignment w:val="auto"/>
      </w:pPr>
      <w:r>
        <w:rPr>
          <w:rFonts w:hint="eastAsia" w:ascii="黑体" w:hAnsi="黑体" w:eastAsia="黑体" w:cs="黑体"/>
          <w:sz w:val="28"/>
          <w:szCs w:val="28"/>
          <w:shd w:val="clear" w:color="auto" w:fill="FFFFFF"/>
        </w:rPr>
        <w:fldChar w:fldCharType="begin"/>
      </w:r>
      <w:r>
        <w:rPr>
          <w:rFonts w:hint="eastAsia" w:ascii="黑体" w:hAnsi="黑体" w:eastAsia="黑体" w:cs="黑体"/>
          <w:sz w:val="28"/>
          <w:szCs w:val="28"/>
          <w:shd w:val="clear" w:color="auto" w:fill="FFFFFF"/>
        </w:rPr>
        <w:instrText xml:space="preserve"> HYPERLINK \l _Toc11739 </w:instrText>
      </w:r>
      <w:r>
        <w:rPr>
          <w:rFonts w:hint="eastAsia" w:ascii="黑体" w:hAnsi="黑体" w:eastAsia="黑体" w:cs="黑体"/>
          <w:sz w:val="28"/>
          <w:szCs w:val="28"/>
          <w:shd w:val="clear" w:color="auto" w:fill="FFFFFF"/>
        </w:rPr>
        <w:fldChar w:fldCharType="separate"/>
      </w:r>
      <w:r>
        <w:rPr>
          <w:rFonts w:hint="eastAsia" w:ascii="黑体" w:hAnsi="黑体" w:eastAsia="黑体" w:cs="黑体"/>
          <w:sz w:val="28"/>
          <w:szCs w:val="28"/>
        </w:rPr>
        <w:t>五、项目结果应用情况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_Toc11739 \h </w:instrText>
      </w:r>
      <w:r>
        <w:rPr>
          <w:rFonts w:hint="eastAsia" w:ascii="黑体" w:hAnsi="黑体" w:eastAsia="黑体" w:cs="黑体"/>
          <w:sz w:val="28"/>
          <w:szCs w:val="28"/>
        </w:rPr>
        <w:fldChar w:fldCharType="separate"/>
      </w:r>
      <w:r>
        <w:rPr>
          <w:rFonts w:hint="eastAsia" w:ascii="黑体" w:hAnsi="黑体" w:eastAsia="黑体" w:cs="黑体"/>
          <w:sz w:val="28"/>
          <w:szCs w:val="28"/>
        </w:rPr>
        <w:t>30</w:t>
      </w:r>
      <w:r>
        <w:rPr>
          <w:rFonts w:hint="eastAsia" w:ascii="黑体" w:hAnsi="黑体" w:eastAsia="黑体" w:cs="黑体"/>
          <w:sz w:val="28"/>
          <w:szCs w:val="28"/>
        </w:rPr>
        <w:fldChar w:fldCharType="end"/>
      </w:r>
      <w:r>
        <w:rPr>
          <w:rFonts w:hint="eastAsia" w:ascii="黑体" w:hAnsi="黑体" w:eastAsia="黑体" w:cs="黑体"/>
          <w:sz w:val="28"/>
          <w:szCs w:val="28"/>
          <w:shd w:val="clear" w:color="auto" w:fill="FFFFFF"/>
        </w:rPr>
        <w:fldChar w:fldCharType="end"/>
      </w:r>
    </w:p>
    <w:p>
      <w:pPr>
        <w:pStyle w:val="9"/>
        <w:tabs>
          <w:tab w:val="right" w:leader="dot" w:pos="9638"/>
        </w:tabs>
      </w:pPr>
    </w:p>
    <w:p>
      <w:pPr>
        <w:adjustRightInd w:val="0"/>
        <w:snapToGrid w:val="0"/>
        <w:ind w:right="395" w:rightChars="188"/>
        <w:jc w:val="center"/>
        <w:rPr>
          <w:rFonts w:ascii="宋体" w:hAnsi="宋体" w:cs="宋体"/>
          <w:sz w:val="28"/>
          <w:szCs w:val="28"/>
          <w:shd w:val="clear" w:color="auto" w:fill="FFFFFF"/>
        </w:rPr>
      </w:pPr>
      <w:r>
        <w:rPr>
          <w:rFonts w:ascii="宋体" w:hAnsi="宋体" w:cs="宋体"/>
          <w:szCs w:val="28"/>
          <w:shd w:val="clear" w:color="auto" w:fill="FFFFFF"/>
        </w:rPr>
        <w:fldChar w:fldCharType="end"/>
      </w:r>
    </w:p>
    <w:p>
      <w:pPr>
        <w:adjustRightInd w:val="0"/>
        <w:snapToGrid w:val="0"/>
        <w:rPr>
          <w:rFonts w:ascii="宋体" w:hAnsi="宋体" w:cs="宋体"/>
          <w:sz w:val="28"/>
          <w:szCs w:val="28"/>
          <w:shd w:val="clear" w:color="auto" w:fill="FFFFFF"/>
        </w:rPr>
      </w:pPr>
      <w:r>
        <w:rPr>
          <w:rFonts w:hint="eastAsia" w:ascii="宋体" w:hAnsi="宋体" w:cs="宋体"/>
          <w:sz w:val="28"/>
          <w:szCs w:val="28"/>
          <w:shd w:val="clear" w:color="auto" w:fill="FFFFFF"/>
        </w:rPr>
        <w:br w:type="page"/>
      </w:r>
    </w:p>
    <w:p>
      <w:pPr>
        <w:adjustRightInd w:val="0"/>
        <w:snapToGrid w:val="0"/>
        <w:ind w:right="395" w:rightChars="188"/>
        <w:jc w:val="center"/>
        <w:rPr>
          <w:rFonts w:ascii="仿宋_GB2312" w:eastAsia="仿宋_GB2312"/>
          <w:sz w:val="28"/>
          <w:szCs w:val="28"/>
          <w:shd w:val="clear" w:color="auto" w:fill="FFFFFF"/>
        </w:rPr>
      </w:pPr>
      <w:r>
        <w:rPr>
          <w:rFonts w:hint="eastAsia" w:ascii="仿宋_GB2312" w:eastAsia="仿宋_GB2312"/>
          <w:sz w:val="28"/>
          <w:szCs w:val="28"/>
          <w:shd w:val="clear" w:color="auto" w:fill="FFFFFF"/>
        </w:rPr>
        <w:t xml:space="preserve">   </w:t>
      </w:r>
    </w:p>
    <w:p>
      <w:pPr>
        <w:adjustRightInd w:val="0"/>
        <w:snapToGrid w:val="0"/>
        <w:ind w:right="395" w:rightChars="188"/>
        <w:jc w:val="center"/>
        <w:rPr>
          <w:rFonts w:ascii="仿宋_GB2312" w:eastAsia="仿宋_GB2312"/>
          <w:sz w:val="28"/>
          <w:szCs w:val="28"/>
          <w:shd w:val="clear" w:color="auto" w:fill="FFFFFF"/>
        </w:rPr>
        <w:sectPr>
          <w:footerReference r:id="rId4" w:type="default"/>
          <w:pgSz w:w="11906" w:h="16838"/>
          <w:pgMar w:top="1134" w:right="1134" w:bottom="1134" w:left="1134" w:header="851" w:footer="992" w:gutter="0"/>
          <w:pgNumType w:start="1"/>
          <w:cols w:space="425" w:num="1"/>
          <w:docGrid w:linePitch="312" w:charSpace="0"/>
        </w:sectPr>
      </w:pPr>
    </w:p>
    <w:p>
      <w:pPr>
        <w:adjustRightInd w:val="0"/>
        <w:snapToGrid w:val="0"/>
        <w:jc w:val="center"/>
        <w:rPr>
          <w:rFonts w:ascii="黑体" w:hAnsi="黑体" w:eastAsia="黑体"/>
          <w:b/>
          <w:sz w:val="36"/>
          <w:szCs w:val="36"/>
        </w:rPr>
      </w:pPr>
      <w:r>
        <w:rPr>
          <w:rFonts w:hint="eastAsia" w:ascii="仿宋_GB2312" w:eastAsia="仿宋_GB2312"/>
          <w:sz w:val="28"/>
          <w:szCs w:val="28"/>
          <w:shd w:val="clear" w:color="auto" w:fill="FFFFFF"/>
        </w:rPr>
        <w:t xml:space="preserve"> </w:t>
      </w:r>
      <w:r>
        <w:rPr>
          <w:rFonts w:hint="eastAsia" w:ascii="仿宋_GB2312" w:eastAsia="仿宋_GB2312"/>
          <w:sz w:val="28"/>
          <w:szCs w:val="28"/>
          <w:shd w:val="clear" w:color="auto" w:fill="FFFFFF"/>
          <w:lang w:eastAsia="zh-CN"/>
        </w:rPr>
        <w:t>“</w:t>
      </w:r>
      <w:r>
        <w:rPr>
          <w:rFonts w:hint="eastAsia" w:ascii="黑体" w:hAnsi="黑体" w:eastAsia="黑体"/>
          <w:b/>
          <w:sz w:val="36"/>
          <w:szCs w:val="36"/>
        </w:rPr>
        <w:t>2023年农村人居环境长效管护奖励资金</w:t>
      </w:r>
      <w:r>
        <w:rPr>
          <w:rFonts w:hint="eastAsia" w:ascii="仿宋_GB2312" w:eastAsia="仿宋_GB2312"/>
          <w:sz w:val="28"/>
          <w:szCs w:val="28"/>
          <w:shd w:val="clear" w:color="auto" w:fill="FFFFFF"/>
          <w:lang w:eastAsia="zh-CN"/>
        </w:rPr>
        <w:t>”</w:t>
      </w:r>
    </w:p>
    <w:bookmarkEnd w:id="13"/>
    <w:p>
      <w:pPr>
        <w:adjustRightInd w:val="0"/>
        <w:snapToGrid w:val="0"/>
        <w:jc w:val="center"/>
        <w:rPr>
          <w:rFonts w:ascii="黑体" w:hAnsi="黑体" w:eastAsia="黑体"/>
          <w:b/>
          <w:sz w:val="36"/>
          <w:szCs w:val="36"/>
        </w:rPr>
      </w:pPr>
      <w:r>
        <w:rPr>
          <w:rFonts w:hint="eastAsia" w:ascii="黑体" w:hAnsi="黑体" w:eastAsia="黑体"/>
          <w:b/>
          <w:sz w:val="36"/>
          <w:szCs w:val="36"/>
        </w:rPr>
        <w:t>项目评审报告</w:t>
      </w:r>
    </w:p>
    <w:p>
      <w:pPr>
        <w:adjustRightInd w:val="0"/>
        <w:snapToGrid w:val="0"/>
        <w:jc w:val="center"/>
        <w:rPr>
          <w:rFonts w:ascii="黑体" w:hAnsi="黑体" w:eastAsia="黑体"/>
          <w:b/>
          <w:sz w:val="36"/>
          <w:szCs w:val="36"/>
        </w:rPr>
      </w:pPr>
    </w:p>
    <w:p>
      <w:pPr>
        <w:pStyle w:val="2"/>
        <w:spacing w:line="600" w:lineRule="exact"/>
      </w:pPr>
      <w:bookmarkStart w:id="14" w:name="_Toc12276"/>
      <w:bookmarkStart w:id="15" w:name="_Toc22367"/>
      <w:r>
        <w:rPr>
          <w:rFonts w:hint="eastAsia" w:ascii="黑体" w:hAnsi="黑体" w:eastAsia="黑体" w:cs="Times New Roman"/>
          <w:b/>
          <w:bCs w:val="0"/>
          <w:kern w:val="2"/>
          <w:sz w:val="30"/>
          <w:szCs w:val="30"/>
          <w:lang w:val="en-US" w:eastAsia="zh-CN" w:bidi="ar-SA"/>
        </w:rPr>
        <w:t>一、项目概况</w:t>
      </w:r>
      <w:bookmarkEnd w:id="14"/>
      <w:bookmarkEnd w:id="15"/>
    </w:p>
    <w:p>
      <w:pPr>
        <w:adjustRightInd w:val="0"/>
        <w:snapToGrid w:val="0"/>
        <w:spacing w:line="600" w:lineRule="exact"/>
        <w:ind w:firstLine="562" w:firstLineChars="200"/>
        <w:outlineLvl w:val="1"/>
        <w:rPr>
          <w:rFonts w:ascii="仿宋_GB2312" w:hAnsi="仿宋" w:eastAsia="仿宋_GB2312"/>
          <w:b/>
          <w:bCs w:val="0"/>
          <w:sz w:val="28"/>
          <w:szCs w:val="28"/>
        </w:rPr>
      </w:pPr>
      <w:bookmarkStart w:id="16" w:name="_Toc23448"/>
      <w:bookmarkStart w:id="17" w:name="_Toc1740"/>
      <w:bookmarkStart w:id="18" w:name="_Toc529229143"/>
      <w:r>
        <w:rPr>
          <w:rFonts w:hint="eastAsia" w:ascii="仿宋_GB2312" w:hAnsi="仿宋" w:eastAsia="仿宋_GB2312"/>
          <w:b/>
          <w:bCs w:val="0"/>
          <w:sz w:val="28"/>
          <w:szCs w:val="28"/>
        </w:rPr>
        <w:t>（一）项目背景</w:t>
      </w:r>
      <w:bookmarkEnd w:id="16"/>
      <w:bookmarkEnd w:id="17"/>
      <w:bookmarkEnd w:id="18"/>
    </w:p>
    <w:p>
      <w:pPr>
        <w:adjustRightInd w:val="0"/>
        <w:snapToGrid w:val="0"/>
        <w:spacing w:line="600" w:lineRule="exact"/>
        <w:ind w:firstLine="561"/>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1.项目背景</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实施乡村振兴战略，是党的十九大作出的重大决策部署，是全面建设社会主义现代化国家的重大历史任务，是新时代“三农”工作的总抓手。“补齐农村人居环境短板，扎实推进美丽宜居乡村建设”是实施乡村振兴战略的重大举措之一，它既是实现生态宜居的具体行动，也是改善农村人居环境质量，促进健康乡村建设的关键，更是提升农村居民生态福祉的重大民生工程。美丽乡村建设既是美丽中国建设的基础和前提，也是乡村振兴战略的必然要求和内容。</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为全面贯彻党的十九大精神，以习近平新时代中国特色社会主义思想为指导，以习近平总书记提出的“上海这种超大城市，管理应该像绣花一样精细”的重要指示为总要求，按照产业兴旺、生态宜居、乡风文明、治理有效、生活富裕的总体目标，推进乡村生态文明建设，促进城乡融合发展。闵行区于2017年1月发布《闵行区美丽乡村建设指导意见》（闵委办发〔2017〕1号），围绕建设项目清单与自治管理清单两方面给予政策扶持，加快推进美丽乡村建设。2018年闵行区农业农村委出台了《闵行区美丽乡村长效管理指导意见》（闵乡村振兴办〔2018〕1号），要求各个开展美丽乡村建设的行政村，在建设取得初步成效的基础上，建立常态化、制度化、规范化的后续长效管理机制，把精细化管理的理念、手段和要求贯彻落实到长效管理的各项工作中，有效维护农村的基础设施和公共服务设施，有效保持农村良好的村容村貌和生态环境。政策自2018年9月26日起施行，于2021年9月26日到期。</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2022年，区农业农村委根据实施乡村建设行动和农村人居环境优化工程总体要求，按照闵行区全面建设创新开放、生态人文现代化主城区的定位，出台了新一轮农村人居环境长效管护政策，即《闵行区关于全面推进农村人居环境优化工程的政策意见》（闵乡村振兴办〔2022〕3号）以及《闵行区农村人居环境长效管护奖励资金管理办法》（闵乡村振兴办〔2022〕33号），围绕“高标准建设美丽家园”的要求，聚焦重点村庄，以农村基础设施及公服设施提档升级、村庄环境长效管理为主要内容，进行精细化、高质量的农村人居环境优化提升，推动乡村振兴从“盆景”变“风景”，实现闵行“农村环境更美丽、农村管理更有序、农民生活更宜居”。政策自2022年4月1日起施行，政策有效期至2027年3月31日。</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新旧两轮政策内容主要在实施范围、对象、奖补标准、考核方式及结果应用等方面存在一定调整，具体如下：</w:t>
      </w:r>
    </w:p>
    <w:p>
      <w:pPr>
        <w:adjustRightInd w:val="0"/>
        <w:snapToGrid w:val="0"/>
        <w:ind w:firstLine="561"/>
        <w:jc w:val="center"/>
        <w:rPr>
          <w:rFonts w:ascii="黑体" w:hAnsi="黑体" w:eastAsia="黑体" w:cs="黑体"/>
          <w:b/>
          <w:bCs/>
          <w:szCs w:val="21"/>
        </w:rPr>
      </w:pPr>
      <w:r>
        <w:rPr>
          <w:rFonts w:hint="eastAsia" w:ascii="黑体" w:hAnsi="黑体" w:eastAsia="黑体" w:cs="黑体"/>
          <w:b/>
          <w:bCs/>
          <w:szCs w:val="21"/>
        </w:rPr>
        <w:t>表1-1 闵行区农村人居环境长效管护奖励资金政策内容新旧对比表</w:t>
      </w:r>
    </w:p>
    <w:tbl>
      <w:tblPr>
        <w:tblStyle w:val="14"/>
        <w:tblW w:w="4996" w:type="pct"/>
        <w:tblInd w:w="0" w:type="dxa"/>
        <w:tblLayout w:type="autofit"/>
        <w:tblCellMar>
          <w:top w:w="0" w:type="dxa"/>
          <w:left w:w="108" w:type="dxa"/>
          <w:bottom w:w="0" w:type="dxa"/>
          <w:right w:w="108" w:type="dxa"/>
        </w:tblCellMar>
      </w:tblPr>
      <w:tblGrid>
        <w:gridCol w:w="1130"/>
        <w:gridCol w:w="3992"/>
        <w:gridCol w:w="4723"/>
      </w:tblGrid>
      <w:tr>
        <w:tblPrEx>
          <w:tblCellMar>
            <w:top w:w="0" w:type="dxa"/>
            <w:left w:w="108" w:type="dxa"/>
            <w:bottom w:w="0" w:type="dxa"/>
            <w:right w:w="108" w:type="dxa"/>
          </w:tblCellMar>
        </w:tblPrEx>
        <w:trPr>
          <w:cantSplit/>
          <w:trHeight w:val="23" w:hRule="atLeast"/>
          <w:tblHeader/>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政策内容对比</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旧一轮政策</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新一轮政策</w:t>
            </w:r>
          </w:p>
        </w:tc>
      </w:tr>
      <w:tr>
        <w:tblPrEx>
          <w:tblCellMar>
            <w:top w:w="0" w:type="dxa"/>
            <w:left w:w="108" w:type="dxa"/>
            <w:bottom w:w="0" w:type="dxa"/>
            <w:right w:w="108" w:type="dxa"/>
          </w:tblCellMar>
        </w:tblPrEx>
        <w:trPr>
          <w:cantSplit/>
          <w:trHeight w:val="23"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000000"/>
                <w:kern w:val="0"/>
                <w:sz w:val="22"/>
                <w:szCs w:val="22"/>
                <w:lang w:bidi="ar"/>
              </w:rPr>
              <w:t>政策对比总结</w:t>
            </w:r>
          </w:p>
        </w:tc>
        <w:tc>
          <w:tcPr>
            <w:tcW w:w="44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实施范围由列入美丽乡村建设计划的行政村扩大至全区所有行政村。</w:t>
            </w:r>
          </w:p>
          <w:p>
            <w:pPr>
              <w:widowControl/>
              <w:numPr>
                <w:ilvl w:val="0"/>
                <w:numId w:val="1"/>
              </w:numPr>
              <w:jc w:val="left"/>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奖补标准由原每年400、500、600元/户提升至500、700、900元/户。</w:t>
            </w:r>
          </w:p>
          <w:p>
            <w:pPr>
              <w:widowControl/>
              <w:numPr>
                <w:ilvl w:val="0"/>
                <w:numId w:val="1"/>
              </w:numPr>
              <w:jc w:val="left"/>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考核方式变化主要有两点，一是考核责任主体由区农业农村委、镇、第三方调整为区农业农村委、区条线部门、第三方，考核结果更具独立性；二是区级主管部门考核频率由不定期抽查变为固定双月一次，考核频率有所提升。</w:t>
            </w:r>
          </w:p>
          <w:p>
            <w:pPr>
              <w:widowControl/>
              <w:numPr>
                <w:ilvl w:val="0"/>
                <w:numId w:val="1"/>
              </w:numPr>
              <w:jc w:val="left"/>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考核结果应用模式，由原本主要根据整改后得分给予奖励的模式，调整为年度综合得分的应用模式。</w:t>
            </w:r>
          </w:p>
        </w:tc>
      </w:tr>
      <w:tr>
        <w:tblPrEx>
          <w:tblCellMar>
            <w:top w:w="0" w:type="dxa"/>
            <w:left w:w="108" w:type="dxa"/>
            <w:bottom w:w="0" w:type="dxa"/>
            <w:right w:w="108" w:type="dxa"/>
          </w:tblCellMar>
        </w:tblPrEx>
        <w:trPr>
          <w:cantSplit/>
          <w:trHeight w:val="23"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实施范围和对象</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列入区级美丽乡村建设计划，完成建设并通过区验收的行政村。（行政村数量逐年变动，至2021年总数为63个）</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全区所有农村地区（空壳村和近期动迁撤并村除外），共涉及7</w:t>
            </w:r>
            <w:r>
              <w:rPr>
                <w:rFonts w:ascii="仿宋_GB2312" w:hAnsi="宋体" w:eastAsia="仿宋_GB2312" w:cs="仿宋_GB2312"/>
                <w:color w:val="000000"/>
                <w:kern w:val="0"/>
                <w:sz w:val="22"/>
                <w:szCs w:val="22"/>
                <w:lang w:bidi="ar"/>
              </w:rPr>
              <w:t>7</w:t>
            </w:r>
            <w:r>
              <w:rPr>
                <w:rFonts w:hint="eastAsia" w:ascii="仿宋_GB2312" w:hAnsi="宋体" w:eastAsia="仿宋_GB2312" w:cs="仿宋_GB2312"/>
                <w:color w:val="000000"/>
                <w:kern w:val="0"/>
                <w:sz w:val="22"/>
                <w:szCs w:val="22"/>
                <w:lang w:bidi="ar"/>
              </w:rPr>
              <w:t>个行政村。</w:t>
            </w:r>
          </w:p>
        </w:tc>
      </w:tr>
      <w:tr>
        <w:tblPrEx>
          <w:tblCellMar>
            <w:top w:w="0" w:type="dxa"/>
            <w:left w:w="108" w:type="dxa"/>
            <w:bottom w:w="0" w:type="dxa"/>
            <w:right w:w="108" w:type="dxa"/>
          </w:tblCellMar>
        </w:tblPrEx>
        <w:trPr>
          <w:cantSplit/>
          <w:trHeight w:val="23"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奖补标准</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按照美丽乡村建设的三种不同类型，由区财政每年安排不同标准的长效管理奖励资金，其中“生态型”村庄每年安排600元/户的奖励资金，“宜居型”村庄每年安排500元/户的奖励资金，“整洁型”村庄每年安排400元/户的奖励资金。</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区级财政按照“差异化奖补”原则，给予一般行政村500元/户/年的长效管护奖励资金；给予区级美丽乡村示范村700元/户/年的长效管护奖励资金；给予市级美丽乡村示范村和市级乡村振兴示范村900元/户/年的长效管护奖励资金。</w:t>
            </w:r>
          </w:p>
        </w:tc>
      </w:tr>
      <w:tr>
        <w:tblPrEx>
          <w:tblCellMar>
            <w:top w:w="0" w:type="dxa"/>
            <w:left w:w="108" w:type="dxa"/>
            <w:bottom w:w="0" w:type="dxa"/>
            <w:right w:w="108" w:type="dxa"/>
          </w:tblCellMar>
        </w:tblPrEx>
        <w:trPr>
          <w:cantSplit/>
          <w:trHeight w:val="23"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考核方式</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区、第三方单位和街镇三位一体的考核方式，区美村办开展日常巡查，同时会同成员单位不定期的随机抽查；第三方单位每两个月开展一次全覆盖检查；街镇每月开展一次全覆盖检查。最后的综合考核分数权重比例为区抽查25%（日常巡查20%，随机抽查5%），第三方考核45%，街镇自查30%。</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区农业农村委、第三方单位和区级条线部门三方联动考核方式。区农业农村委组织力量开展日常巡查，并根据巡查打分情况进行双月排名；第三方单位每两个月开展一次全覆盖巡查，出具巡查报告；区级条线部门结合行业监管开展日常检查与考核评估工作，最后形成年度综合考核分数。三者权重比例分别为区农业农村委考核40%，第三方考核30%，区级条线部门考核30%。</w:t>
            </w:r>
          </w:p>
        </w:tc>
      </w:tr>
      <w:tr>
        <w:tblPrEx>
          <w:tblCellMar>
            <w:top w:w="0" w:type="dxa"/>
            <w:left w:w="108" w:type="dxa"/>
            <w:bottom w:w="0" w:type="dxa"/>
            <w:right w:w="108" w:type="dxa"/>
          </w:tblCellMar>
        </w:tblPrEx>
        <w:trPr>
          <w:cantSplit/>
          <w:trHeight w:val="23" w:hRule="atLeast"/>
        </w:trPr>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考核结果应用模式</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区级奖励资金实行差别化，综合考核结果100分以上的村，全额拨付奖励资金；综合考核结果80分以上的村，整改后达到100分以上的，全额拨付奖励资金，整改后不满100分的，按得分百分比确定奖励资金比例；综合考核结果80分以下的村，整改后达到100分以上的，全额拨付奖励资金，整改后不满100分的，按得分百分比确定奖励资金比例，整改后仍不满80分的，按60%比例拨付奖励资金。</w:t>
            </w:r>
          </w:p>
        </w:tc>
        <w:tc>
          <w:tcPr>
            <w:tcW w:w="23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行政村长效管护奖励资金等次与年度综合考核结果相挂钩。年度综合考核结果为“优秀”，全额给付长效管护奖励资金；年度综合考核结果为“良好”，按90%比例给付长效管护奖励资金；年度综合考核结果为“合格”，按80%比例给付长效管护奖励资金；年度综合考核结果为“不合格”，取消该年度区级长效管护奖励资金。</w:t>
            </w:r>
          </w:p>
        </w:tc>
      </w:tr>
    </w:tbl>
    <w:p>
      <w:pPr>
        <w:adjustRightInd w:val="0"/>
        <w:snapToGrid w:val="0"/>
        <w:spacing w:line="600" w:lineRule="exact"/>
        <w:ind w:firstLine="56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经过本轮第一年政策的实施，2022年较上一轮新增5个区级美丽乡村示范村，其中浦江镇新增苏民村、东风村、镇北村、汇红村共4个村，马桥镇新增友好村。</w:t>
      </w:r>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2.立项依据</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（1）《中共中央 国务院 关于全面推进乡村振兴加快农业农村现代化的意见》（2021年中央一号文件）</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实施农村人居环境整治提升五年行动。分类有序推进农村厕所革命，加快研发干旱、寒冷地区卫生厕所适用技术和产品，加强中西部地区农村户用厕所改造。统筹农村改厕和污水、黑臭水体治理，因地制宜建设污水处理设施。健全农村生活垃圾收运处置体系，推进源头分类减量、资源化处理利用，建设一批有机废弃物综合处置利用设施。健全农村人居环境设施管护机制。有条件的地区推广城乡环卫一体化第三方治理。深入推进村庄清洁和绿化行动。开展美丽宜居村庄和美丽庭院示范创建活动。”</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（2）《上海市乡村振兴促进条例》（上海市人大常委会办公厅公告（第一百二十四号））</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“相关区和乡镇人民政府应当开展村庄设计，加强村庄风貌引导，突出乡土特色和地域特点，保存乡村自然肌理，挖掘传统元素，促进村庄形态与自然环境、传统文化相协调，推进美丽乡村建设。”</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倡导节约适度、绿色低碳、文明健康的生产生活和消费方式，开展乡村生产生活环境整治，推进乡村人居环境优化提升。禁止违法将污染环境、破坏生态的产业、企业向农村转移。各级人民政府应当加大投入，统筹乡村生活垃圾处理回收和生活污水处理设施的建设、运行维护和管理工作，推进生活垃圾分类减量和建筑垃圾规范处置、生活污水集中处理。”</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“相关区和乡镇人民政府应当加大对城中村公共安全、公共卫生、人居环境、违法建筑等的整治力度，加强房屋出租和实有人口管理，提升安全隐患排查、风险管控和应急处置能力。”</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（3）《闵行区关于落实乡村振兴战略促进农业农村现代化发展的政策意见》（闵府规发〔2022〕1号）</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“以镇村规划体系为指导，因地制宜分类推进农村人居环境优化和乡村振兴示范村创建工作，并持续完善长效管护机制，全面巩固乡村建设成效，丰富乡村治理内涵，加快提升村民生活品质。”</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持续优化农村人居环境。围绕‘高标准建设美丽家园’的要求，聚焦重点村庄，进行精细化、高质量的美丽乡村人居环境提升建设，具体项目由属地街镇组织实施，所需资金由区、街镇承担。按照不同村庄类型，区级财政给予行政村长效管护奖励资金，街镇同比例配套，实行专账管理，专款专用。”</w:t>
      </w:r>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3.项目必要性和重要性</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改善农村人居环境，是实施乡村振兴战略的重大任务，也是全面建成小康社会的基本要求。闵行区先后发布《闵行区美丽乡村长效管理指导意见》（闵乡村振兴办〔2018〕1号）和《闵行区关于全面推进农村人居环境优化工程的政策意见》</w:t>
      </w:r>
      <w:r>
        <w:rPr>
          <w:rFonts w:hint="eastAsia" w:ascii="仿宋_GB2312" w:hAnsi="仿宋_GB2312" w:eastAsia="仿宋_GB2312" w:cs="仿宋_GB2312"/>
          <w:sz w:val="28"/>
          <w:szCs w:val="28"/>
          <w:lang w:eastAsia="zh-CN"/>
        </w:rPr>
        <w:t>（闵乡村振兴办〔2022〕3号）</w:t>
      </w:r>
      <w:r>
        <w:rPr>
          <w:rFonts w:hint="eastAsia" w:ascii="仿宋_GB2312" w:hAnsi="仿宋_GB2312" w:eastAsia="仿宋_GB2312" w:cs="仿宋_GB2312"/>
          <w:sz w:val="28"/>
          <w:szCs w:val="28"/>
        </w:rPr>
        <w:t>，是贯彻落实国家、上海市相关文件精神的要求，对于加快闵行区生态宜居现代化主城区建设，推进乡村生态文明建设，促进城乡融合发展，补齐农村生态环境及社会治理短板具有重要意义。农村人居环境长效管护机制的建立是推进生态文明建设的需要，是加强农业生态环境保护，推进农业农村经济科学发展的需要，是改善农村人居环境，提升社会主义新农村建设水平的需要，更是乡村振兴战略落地的重要内容、主要载体和关键抓手。</w:t>
      </w:r>
    </w:p>
    <w:p>
      <w:pPr>
        <w:adjustRightInd w:val="0"/>
        <w:snapToGrid w:val="0"/>
        <w:spacing w:line="6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4.项目的可行性</w:t>
      </w:r>
    </w:p>
    <w:p>
      <w:pPr>
        <w:adjustRightInd w:val="0"/>
        <w:snapToGrid w:val="0"/>
        <w:spacing w:line="600" w:lineRule="exact"/>
        <w:ind w:firstLine="560" w:firstLineChars="200"/>
        <w:rPr>
          <w:rFonts w:ascii="仿宋_GB2312" w:hAnsi="宋体" w:eastAsia="仿宋_GB2312" w:cs="仿宋_GB2312"/>
          <w:color w:val="000000"/>
          <w:sz w:val="28"/>
          <w:szCs w:val="28"/>
        </w:rPr>
      </w:pPr>
      <w:r>
        <w:rPr>
          <w:rFonts w:hint="eastAsia" w:ascii="仿宋_GB2312" w:hAnsi="仿宋_GB2312" w:eastAsia="仿宋_GB2312" w:cs="仿宋_GB2312"/>
          <w:sz w:val="28"/>
          <w:szCs w:val="28"/>
        </w:rPr>
        <w:t>农村人居环境长效管护奖励项目脱胎于原美丽乡村长效管理区级奖励资金，新一轮政策从2022年起实施，在美丽乡村建设取得初步成效的基础上，通过在党建引领下建立常态化、制度化、规范化的后续长效管理机制，把精细化管理的理念、手段和要求贯彻落实到长效管理的各项工作中，可以有效维护农村的基础设施和公共服务设施，有效保持农村良好的村容村貌和生态环境。从区级层面至街镇、村级层面，不断完善组织架构、项目管理制度及资金管理办法，制定有《闵行区关于全面推进农村人居环境优化工程的政策意见》</w:t>
      </w:r>
      <w:r>
        <w:rPr>
          <w:rFonts w:hint="eastAsia" w:ascii="仿宋_GB2312" w:hAnsi="仿宋_GB2312" w:eastAsia="仿宋_GB2312" w:cs="仿宋_GB2312"/>
          <w:sz w:val="28"/>
          <w:szCs w:val="28"/>
          <w:lang w:eastAsia="zh-CN"/>
        </w:rPr>
        <w:t>（闵乡村振兴办〔2022〕3号）</w:t>
      </w:r>
      <w:r>
        <w:rPr>
          <w:rFonts w:hint="eastAsia" w:ascii="仿宋_GB2312" w:hAnsi="仿宋_GB2312" w:eastAsia="仿宋_GB2312" w:cs="仿宋_GB2312"/>
          <w:sz w:val="28"/>
          <w:szCs w:val="28"/>
        </w:rPr>
        <w:t>以及《闵行区农村人居环境长效管护奖励资金管理办法》</w:t>
      </w:r>
      <w:r>
        <w:rPr>
          <w:rFonts w:hint="eastAsia" w:ascii="仿宋_GB2312" w:hAnsi="仿宋_GB2312" w:eastAsia="仿宋_GB2312" w:cs="仿宋_GB2312"/>
          <w:sz w:val="28"/>
          <w:szCs w:val="28"/>
          <w:lang w:eastAsia="zh-CN"/>
        </w:rPr>
        <w:t>（闵乡村振兴办〔2022〕33号）</w:t>
      </w:r>
      <w:r>
        <w:rPr>
          <w:rFonts w:hint="eastAsia" w:ascii="仿宋_GB2312" w:hAnsi="仿宋_GB2312" w:eastAsia="仿宋_GB2312" w:cs="仿宋_GB2312"/>
          <w:sz w:val="28"/>
          <w:szCs w:val="28"/>
        </w:rPr>
        <w:t>等文件，区、镇、村三级农业管理部门权责匹配，上下联动，完善了实施流程、管理制度等内容，实施范围、实施对象、奖补标准等内容，管理机制</w:t>
      </w:r>
      <w:r>
        <w:rPr>
          <w:rFonts w:hint="eastAsia" w:ascii="仿宋_GB2312" w:hAnsi="宋体" w:eastAsia="仿宋_GB2312" w:cs="仿宋_GB2312"/>
          <w:color w:val="000000"/>
          <w:sz w:val="28"/>
          <w:szCs w:val="28"/>
        </w:rPr>
        <w:t>基本健全。</w:t>
      </w:r>
    </w:p>
    <w:p>
      <w:pPr>
        <w:adjustRightInd w:val="0"/>
        <w:snapToGrid w:val="0"/>
        <w:spacing w:line="600" w:lineRule="exact"/>
        <w:ind w:firstLine="562" w:firstLineChars="200"/>
        <w:rPr>
          <w:rFonts w:ascii="仿宋_GB2312" w:hAnsi="宋体" w:eastAsia="仿宋_GB2312" w:cs="仿宋_GB2312"/>
          <w:b/>
          <w:bCs/>
          <w:color w:val="000000"/>
          <w:sz w:val="28"/>
          <w:szCs w:val="28"/>
        </w:rPr>
      </w:pPr>
      <w:r>
        <w:rPr>
          <w:rFonts w:hint="eastAsia" w:ascii="仿宋_GB2312" w:hAnsi="宋体" w:eastAsia="仿宋_GB2312" w:cs="仿宋_GB2312"/>
          <w:b/>
          <w:bCs/>
          <w:color w:val="000000"/>
          <w:sz w:val="28"/>
          <w:szCs w:val="28"/>
        </w:rPr>
        <w:t>5.横向对比</w:t>
      </w:r>
    </w:p>
    <w:p>
      <w:pPr>
        <w:adjustRightInd w:val="0"/>
        <w:snapToGrid w:val="0"/>
        <w:spacing w:line="600" w:lineRule="exact"/>
        <w:ind w:firstLine="560" w:firstLineChars="20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据了解，</w:t>
      </w:r>
      <w:r>
        <w:rPr>
          <w:rFonts w:hint="eastAsia" w:ascii="仿宋_GB2312" w:hAnsi="宋体" w:eastAsia="仿宋_GB2312" w:cs="仿宋_GB2312"/>
          <w:color w:val="000000"/>
          <w:sz w:val="28"/>
          <w:szCs w:val="28"/>
          <w:lang w:eastAsia="zh-CN"/>
        </w:rPr>
        <w:t>2023年农村人居环境长效管护奖励资金</w:t>
      </w:r>
      <w:r>
        <w:rPr>
          <w:rFonts w:hint="eastAsia" w:ascii="仿宋_GB2312" w:hAnsi="宋体" w:eastAsia="仿宋_GB2312" w:cs="仿宋_GB2312"/>
          <w:color w:val="000000"/>
          <w:sz w:val="28"/>
          <w:szCs w:val="28"/>
        </w:rPr>
        <w:t>项目作为根据上级规划文件精神延伸的奖补类项目，其他涉农区也实施了类似的项目，评价组将本项目与青浦、松江、奉贤、金山、嘉定类似政策的实施范围和对象、考核内容、奖补标准以及考核方式这4大要素进行了对比，主要对比情况如下表所示：</w:t>
      </w:r>
    </w:p>
    <w:p>
      <w:pPr>
        <w:adjustRightInd w:val="0"/>
        <w:snapToGrid w:val="0"/>
        <w:ind w:firstLine="561"/>
        <w:jc w:val="center"/>
        <w:rPr>
          <w:rFonts w:ascii="黑体" w:hAnsi="黑体" w:eastAsia="黑体" w:cs="黑体"/>
          <w:b/>
          <w:bCs/>
          <w:szCs w:val="21"/>
        </w:rPr>
      </w:pPr>
      <w:r>
        <w:rPr>
          <w:rFonts w:hint="eastAsia" w:ascii="黑体" w:hAnsi="黑体" w:eastAsia="黑体" w:cs="黑体"/>
          <w:b/>
          <w:bCs/>
          <w:szCs w:val="21"/>
        </w:rPr>
        <w:t>表1-2各区农村人居环境长效管护奖励资金政策内容对比简表</w:t>
      </w:r>
    </w:p>
    <w:tbl>
      <w:tblPr>
        <w:tblStyle w:val="14"/>
        <w:tblW w:w="0" w:type="auto"/>
        <w:tblInd w:w="91" w:type="dxa"/>
        <w:tblLayout w:type="autofit"/>
        <w:tblCellMar>
          <w:top w:w="0" w:type="dxa"/>
          <w:left w:w="108" w:type="dxa"/>
          <w:bottom w:w="0" w:type="dxa"/>
          <w:right w:w="108" w:type="dxa"/>
        </w:tblCellMar>
      </w:tblPr>
      <w:tblGrid>
        <w:gridCol w:w="419"/>
        <w:gridCol w:w="1966"/>
        <w:gridCol w:w="1494"/>
        <w:gridCol w:w="1542"/>
        <w:gridCol w:w="1223"/>
        <w:gridCol w:w="1768"/>
        <w:gridCol w:w="1350"/>
      </w:tblGrid>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行政区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闵行区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bCs/>
                <w:color w:val="000000"/>
                <w:kern w:val="0"/>
                <w:sz w:val="16"/>
                <w:szCs w:val="16"/>
                <w:lang w:bidi="ar"/>
              </w:rPr>
            </w:pPr>
            <w:r>
              <w:rPr>
                <w:rFonts w:hint="eastAsia" w:ascii="仿宋_GB2312" w:hAnsi="宋体" w:eastAsia="仿宋_GB2312" w:cs="仿宋_GB2312"/>
                <w:b/>
                <w:bCs/>
                <w:color w:val="000000"/>
                <w:kern w:val="0"/>
                <w:sz w:val="16"/>
                <w:szCs w:val="16"/>
                <w:lang w:bidi="ar"/>
              </w:rPr>
              <w:t>青浦区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松江区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奉贤区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bCs/>
                <w:color w:val="000000"/>
                <w:kern w:val="0"/>
                <w:sz w:val="16"/>
                <w:szCs w:val="16"/>
                <w:lang w:bidi="ar"/>
              </w:rPr>
            </w:pPr>
            <w:r>
              <w:rPr>
                <w:rFonts w:hint="eastAsia" w:ascii="仿宋_GB2312" w:hAnsi="宋体" w:eastAsia="仿宋_GB2312" w:cs="仿宋_GB2312"/>
                <w:b/>
                <w:bCs/>
                <w:color w:val="000000"/>
                <w:kern w:val="0"/>
                <w:sz w:val="16"/>
                <w:szCs w:val="16"/>
                <w:lang w:bidi="ar"/>
              </w:rPr>
              <w:t>金山区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bCs/>
                <w:color w:val="000000"/>
                <w:kern w:val="0"/>
                <w:sz w:val="16"/>
                <w:szCs w:val="16"/>
                <w:lang w:eastAsia="zh-CN" w:bidi="ar"/>
              </w:rPr>
            </w:pPr>
            <w:r>
              <w:rPr>
                <w:rFonts w:hint="eastAsia" w:ascii="仿宋_GB2312" w:hAnsi="宋体" w:eastAsia="仿宋_GB2312" w:cs="仿宋_GB2312"/>
                <w:b/>
                <w:bCs/>
                <w:color w:val="000000"/>
                <w:kern w:val="0"/>
                <w:sz w:val="16"/>
                <w:szCs w:val="16"/>
                <w:lang w:bidi="ar"/>
              </w:rPr>
              <w:t>嘉定区</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文件号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val="0"/>
                <w:bCs w:val="0"/>
                <w:color w:val="000000"/>
                <w:sz w:val="16"/>
                <w:szCs w:val="16"/>
                <w:lang w:val="en-US" w:eastAsia="zh-CN"/>
              </w:rPr>
            </w:pPr>
            <w:r>
              <w:rPr>
                <w:rFonts w:hint="eastAsia" w:ascii="仿宋_GB2312" w:hAnsi="宋体" w:eastAsia="仿宋_GB2312" w:cs="仿宋_GB2312"/>
                <w:b w:val="0"/>
                <w:bCs w:val="0"/>
                <w:color w:val="000000"/>
                <w:kern w:val="0"/>
                <w:sz w:val="16"/>
                <w:szCs w:val="16"/>
                <w:lang w:bidi="ar"/>
              </w:rPr>
              <w:t>闵农业农村委〔2022〕33号</w:t>
            </w:r>
            <w:r>
              <w:rPr>
                <w:rFonts w:hint="eastAsia" w:ascii="仿宋_GB2312" w:hAnsi="宋体" w:eastAsia="仿宋_GB2312" w:cs="仿宋_GB2312"/>
                <w:b w:val="0"/>
                <w:bCs w:val="0"/>
                <w:color w:val="000000"/>
                <w:kern w:val="0"/>
                <w:sz w:val="16"/>
                <w:szCs w:val="16"/>
                <w:lang w:eastAsia="zh-CN" w:bidi="ar"/>
              </w:rPr>
              <w:t>（最新政策，有效期</w:t>
            </w:r>
            <w:r>
              <w:rPr>
                <w:rFonts w:hint="eastAsia" w:ascii="仿宋_GB2312" w:hAnsi="宋体" w:eastAsia="仿宋_GB2312" w:cs="仿宋_GB2312"/>
                <w:b w:val="0"/>
                <w:bCs w:val="0"/>
                <w:color w:val="000000"/>
                <w:kern w:val="0"/>
                <w:sz w:val="16"/>
                <w:szCs w:val="16"/>
                <w:lang w:val="en-US" w:eastAsia="zh-CN" w:bidi="ar"/>
              </w:rPr>
              <w:t>至2027年3月31日）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bidi="ar"/>
              </w:rPr>
              <w:t>青府办发〔2020〕50号</w:t>
            </w:r>
          </w:p>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eastAsia="zh-CN" w:bidi="ar"/>
              </w:rPr>
              <w:t>（最新政策，有效期未明确）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bidi="ar"/>
              </w:rPr>
              <w:t>松农发〔2020〕152号</w:t>
            </w:r>
          </w:p>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eastAsia="zh-CN" w:bidi="ar"/>
              </w:rPr>
              <w:t>（最新政策，有效期未明确）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bidi="ar"/>
              </w:rPr>
              <w:t>沪奉农委〔2017〕150号</w:t>
            </w:r>
          </w:p>
          <w:p>
            <w:pPr>
              <w:widowControl/>
              <w:adjustRightInd w:val="0"/>
              <w:snapToGrid w:val="0"/>
              <w:jc w:val="center"/>
              <w:textAlignment w:val="center"/>
              <w:rPr>
                <w:rFonts w:ascii="仿宋_GB2312" w:hAnsi="宋体" w:eastAsia="仿宋_GB2312" w:cs="仿宋_GB2312"/>
                <w:b w:val="0"/>
                <w:bCs w:val="0"/>
                <w:color w:val="000000"/>
                <w:sz w:val="16"/>
                <w:szCs w:val="16"/>
              </w:rPr>
            </w:pPr>
            <w:r>
              <w:rPr>
                <w:rFonts w:hint="eastAsia" w:ascii="仿宋_GB2312" w:hAnsi="宋体" w:eastAsia="仿宋_GB2312" w:cs="仿宋_GB2312"/>
                <w:b w:val="0"/>
                <w:bCs w:val="0"/>
                <w:color w:val="000000"/>
                <w:kern w:val="0"/>
                <w:sz w:val="16"/>
                <w:szCs w:val="16"/>
                <w:lang w:eastAsia="zh-CN" w:bidi="ar"/>
              </w:rPr>
              <w:t>（最新政策，有效期未明确）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bidi="ar"/>
              </w:rPr>
              <w:t>金农〔2021〕147号</w:t>
            </w:r>
          </w:p>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eastAsia="zh-CN" w:bidi="ar"/>
              </w:rPr>
              <w:t>（最新政策，有效期至</w:t>
            </w:r>
            <w:r>
              <w:rPr>
                <w:rFonts w:hint="eastAsia" w:ascii="仿宋_GB2312" w:hAnsi="宋体" w:eastAsia="仿宋_GB2312" w:cs="仿宋_GB2312"/>
                <w:b w:val="0"/>
                <w:bCs w:val="0"/>
                <w:color w:val="000000"/>
                <w:kern w:val="0"/>
                <w:sz w:val="16"/>
                <w:szCs w:val="16"/>
                <w:lang w:val="en-US" w:eastAsia="zh-CN" w:bidi="ar"/>
              </w:rPr>
              <w:t>2023年底</w:t>
            </w:r>
            <w:r>
              <w:rPr>
                <w:rFonts w:hint="eastAsia" w:ascii="仿宋_GB2312" w:hAnsi="宋体" w:eastAsia="仿宋_GB2312" w:cs="仿宋_GB2312"/>
                <w:b w:val="0"/>
                <w:bCs w:val="0"/>
                <w:color w:val="000000"/>
                <w:kern w:val="0"/>
                <w:sz w:val="16"/>
                <w:szCs w:val="16"/>
                <w:lang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bidi="ar"/>
              </w:rPr>
              <w:t>嘉农委〔2021〕47号</w:t>
            </w:r>
          </w:p>
          <w:p>
            <w:pPr>
              <w:widowControl/>
              <w:adjustRightInd w:val="0"/>
              <w:snapToGrid w:val="0"/>
              <w:jc w:val="center"/>
              <w:textAlignment w:val="center"/>
              <w:rPr>
                <w:rFonts w:hint="eastAsia" w:ascii="仿宋_GB2312" w:hAnsi="宋体" w:eastAsia="仿宋_GB2312" w:cs="仿宋_GB2312"/>
                <w:b w:val="0"/>
                <w:bCs w:val="0"/>
                <w:color w:val="000000"/>
                <w:kern w:val="0"/>
                <w:sz w:val="16"/>
                <w:szCs w:val="16"/>
                <w:lang w:bidi="ar"/>
              </w:rPr>
            </w:pPr>
            <w:r>
              <w:rPr>
                <w:rFonts w:hint="eastAsia" w:ascii="仿宋_GB2312" w:hAnsi="宋体" w:eastAsia="仿宋_GB2312" w:cs="仿宋_GB2312"/>
                <w:b w:val="0"/>
                <w:bCs w:val="0"/>
                <w:color w:val="000000"/>
                <w:kern w:val="0"/>
                <w:sz w:val="16"/>
                <w:szCs w:val="16"/>
                <w:lang w:eastAsia="zh-CN" w:bidi="ar"/>
              </w:rPr>
              <w:t>（最新政策，有效期至</w:t>
            </w:r>
            <w:r>
              <w:rPr>
                <w:rFonts w:hint="eastAsia" w:ascii="仿宋_GB2312" w:hAnsi="宋体" w:eastAsia="仿宋_GB2312" w:cs="仿宋_GB2312"/>
                <w:b w:val="0"/>
                <w:bCs w:val="0"/>
                <w:color w:val="000000"/>
                <w:kern w:val="0"/>
                <w:sz w:val="16"/>
                <w:szCs w:val="16"/>
                <w:lang w:val="en-US" w:eastAsia="zh-CN" w:bidi="ar"/>
              </w:rPr>
              <w:t>2023年7月</w:t>
            </w:r>
            <w:r>
              <w:rPr>
                <w:rFonts w:hint="eastAsia" w:ascii="仿宋_GB2312" w:hAnsi="宋体" w:eastAsia="仿宋_GB2312" w:cs="仿宋_GB2312"/>
                <w:b w:val="0"/>
                <w:bCs w:val="0"/>
                <w:color w:val="000000"/>
                <w:kern w:val="0"/>
                <w:sz w:val="16"/>
                <w:szCs w:val="16"/>
                <w:lang w:eastAsia="zh-CN" w:bidi="ar"/>
              </w:rPr>
              <w:t>）</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实施范围和对象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全区所有行政村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市（区）级美丽乡村示范村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本区涉农镇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市（区）级美丽乡村示范村</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全区所有行政村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全区各街镇</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考核内容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包括农宅环境、田园环境、安全出租、移风易俗、一票否决等5类13条。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包括基础设施、公服设施、环卫设施、其他设施、清“五违”、清“立面”、清“缸、坛、罐”、清“违规户外设施”、清“乱设摊”、清“河沟”、清“垃圾”等18项共45条内容。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包括农宅规范出租、宅前屋后、墙面、庭院无乱堆、农田规整、秸秆综合利用、沟系通畅、路面平整、河道整洁、水质无异味等5大类15项内容。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包括垃圾日产日清、道路整洁平整、河道水清岸洁、设施完备完好、田园自然优美、环境绿化美化、民宅院落井然等8大项内容。</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共计8项20条内容，包括村庄环境、农田环境、水系环境、乡村风貌、公共设施配置、环境整治、管理机制和村民发动情况。</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围绕村容村貌提升、美丽田园营造、农村垃圾治理、农村生活污水处理、农村水体环境、“四好农村路”建设等方面。</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奖补标准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一般行政村500元/户/年、区级美丽乡村示范村700元/户/年、市级美丽乡村示范村和市级乡村振兴示范村900元/户/年。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A档40万元/村/年、B档30万元/村/年、C档20万元/村/年。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按每户2400元/年标准进行补贴，其中2000元用于农户考核奖补，400元用于日常管护。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优秀40万元/村/年、良好30万元/村/年、合格20万元/村/年。</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排名前20名的村为优秀，奖补30万元/村；第21—70名的村为良好，奖补20万元/村。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color w:val="000000"/>
                <w:kern w:val="0"/>
                <w:sz w:val="16"/>
                <w:szCs w:val="16"/>
                <w:lang w:eastAsia="zh-CN" w:bidi="ar"/>
              </w:rPr>
            </w:pPr>
            <w:r>
              <w:rPr>
                <w:rFonts w:hint="eastAsia" w:ascii="仿宋_GB2312" w:hAnsi="宋体" w:eastAsia="仿宋_GB2312" w:cs="仿宋_GB2312"/>
                <w:color w:val="000000"/>
                <w:kern w:val="0"/>
                <w:sz w:val="16"/>
                <w:szCs w:val="16"/>
                <w:lang w:bidi="ar"/>
              </w:rPr>
              <w:t>针对规划保留户分3档：90-100分奖补6000元/户、80-89分奖补5400元/户、80分以下奖补4800元/户。</w:t>
            </w:r>
          </w:p>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针对规划非保留户分3挡：90-100分奖补4000元/户、80-89分奖补3600元/户、80分以下奖补3200元/户。</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16"/>
                <w:szCs w:val="16"/>
              </w:rPr>
            </w:pPr>
            <w:r>
              <w:rPr>
                <w:rFonts w:hint="eastAsia" w:ascii="仿宋_GB2312" w:hAnsi="宋体" w:eastAsia="仿宋_GB2312" w:cs="仿宋_GB2312"/>
                <w:b/>
                <w:bCs/>
                <w:color w:val="000000"/>
                <w:kern w:val="0"/>
                <w:sz w:val="16"/>
                <w:szCs w:val="16"/>
                <w:lang w:bidi="ar"/>
              </w:rPr>
              <w:t>考核方式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区农业农村委、第三方单位和区级条线部门三方联动考核方式。区农业农村委组织力量开展日常巡查，并根据巡查打分情况进行双月排名；第三方单位每两个月开展一次全覆盖巡查，出具巡查报告；区级条线部门结合行业监管开展日常检查与考核评估工作，最后形成年度综合考核分数。三者权重比例分别为区农业农村委考核40%，第三方考核30%，区级条线部门考核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考核方式采用“飞行检查考核”+“三大整治考核”+“街镇自评考核”+“区级考核”相结合的方式，即区农业农村委每月一次飞行检查考核+区三大整治办抽查+街镇自评+区级年底考核的形式。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区实施乡村振兴战略工作领导小组的统一领导，定期由“啄木鸟”专项督导组对村开展抽查检查工作，对照标准进行评分，并在每年年底，对各镇、行政村进行全面考核，以此作为对各镇、村长效管理实绩考核的依据，兑现相关政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color w:val="000000"/>
                <w:kern w:val="0"/>
                <w:sz w:val="16"/>
                <w:szCs w:val="16"/>
                <w:lang w:eastAsia="zh-CN" w:bidi="ar"/>
              </w:rPr>
            </w:pPr>
            <w:r>
              <w:rPr>
                <w:rFonts w:hint="eastAsia" w:ascii="仿宋_GB2312" w:hAnsi="宋体" w:eastAsia="仿宋_GB2312" w:cs="仿宋_GB2312"/>
                <w:color w:val="000000"/>
                <w:kern w:val="0"/>
                <w:sz w:val="16"/>
                <w:szCs w:val="16"/>
                <w:lang w:bidi="ar"/>
              </w:rPr>
              <w:t>委托第三方机构，按照考核评分标准，于每年6月底前和12月底前，分两次对所在的街镇、村实施考核。</w:t>
            </w:r>
          </w:p>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（年内区牵头部门也将不定期随机抽查部分村的长效管理情况。）</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采用“镇级自评+区级专项+综合年度”相结合的考核方式。镇级自评占年底总得分15%；区级专项评分，占年底总得分的45%，其中区绿化市容局专项评分占年底总得分的15%，区交通委专项评分占年底总得分的15%，区水务局专项评分占年底总得分的15%；区农业农村委综合年度考评，占年底总得分的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16"/>
                <w:szCs w:val="16"/>
              </w:rPr>
            </w:pPr>
            <w:r>
              <w:rPr>
                <w:rFonts w:hint="eastAsia" w:ascii="仿宋_GB2312" w:hAnsi="宋体" w:eastAsia="仿宋_GB2312" w:cs="仿宋_GB2312"/>
                <w:color w:val="000000"/>
                <w:kern w:val="0"/>
                <w:sz w:val="16"/>
                <w:szCs w:val="16"/>
                <w:lang w:bidi="ar"/>
              </w:rPr>
              <w:t>区乡村振兴办对优化工程开展进度和整治情况的动态跟踪、检查，对各街镇农村人居环境优化工作推进成效开展考核，以及通过聘请“第三方检查组”对各街镇开展测评。</w:t>
            </w:r>
          </w:p>
        </w:tc>
      </w:tr>
    </w:tbl>
    <w:p>
      <w:pPr>
        <w:numPr>
          <w:ilvl w:val="0"/>
          <w:numId w:val="0"/>
        </w:numPr>
        <w:adjustRightInd w:val="0"/>
        <w:snapToGrid w:val="0"/>
        <w:spacing w:line="600" w:lineRule="exact"/>
        <w:rPr>
          <w:rFonts w:ascii="仿宋_GB2312" w:hAnsi="宋体" w:eastAsia="仿宋_GB2312" w:cs="仿宋_GB2312"/>
          <w:color w:val="000000"/>
          <w:sz w:val="28"/>
          <w:szCs w:val="28"/>
        </w:rPr>
      </w:pPr>
    </w:p>
    <w:p>
      <w:pPr>
        <w:numPr>
          <w:ilvl w:val="0"/>
          <w:numId w:val="2"/>
        </w:numPr>
        <w:adjustRightInd w:val="0"/>
        <w:snapToGrid w:val="0"/>
        <w:spacing w:line="600" w:lineRule="exact"/>
        <w:ind w:firstLine="560" w:firstLineChars="20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实施范围和对象：闵行区针对全区行政村进行全覆盖，青浦、奉贤区仅针对该区建设的美丽乡村示范村进行奖补，嘉定区以街镇作为考核对象。</w:t>
      </w:r>
    </w:p>
    <w:p>
      <w:pPr>
        <w:numPr>
          <w:ilvl w:val="0"/>
          <w:numId w:val="2"/>
        </w:numPr>
        <w:tabs>
          <w:tab w:val="left" w:pos="4183"/>
        </w:tabs>
        <w:adjustRightInd w:val="0"/>
        <w:snapToGrid w:val="0"/>
        <w:spacing w:line="600" w:lineRule="exact"/>
        <w:ind w:firstLine="560" w:firstLineChars="20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考核内容：闵行区与其他各区内容近似，主要针对农村环境长效管理成果开展工作，但不包括地膜回收、废弃物回收等农业生产相关要求的指标。</w:t>
      </w:r>
    </w:p>
    <w:p>
      <w:pPr>
        <w:numPr>
          <w:ilvl w:val="0"/>
          <w:numId w:val="2"/>
        </w:numPr>
        <w:tabs>
          <w:tab w:val="left" w:pos="4183"/>
        </w:tabs>
        <w:adjustRightInd w:val="0"/>
        <w:snapToGrid w:val="0"/>
        <w:spacing w:line="600" w:lineRule="exact"/>
        <w:ind w:firstLine="560" w:firstLineChars="20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奖补标准：各区奖补标准和奖补方式不一致，如青浦、奉贤、金山区是以村为单位进行奖补；闵行、松江、嘉定区则是以宅基户为单位进行奖补。按全额奖补标准换算2022年闵行区各村平均奖补标准约为22.61万元，低于青浦、奉贤区，与金山区（22.85万/村=20个村*30万元/村+50个村*20万元/村/70个村）的奖补基本持平，高于松江区日常管理奖补400元/户，闵行区奖补标准属中等水平</w:t>
      </w:r>
      <w:r>
        <w:rPr>
          <w:rStyle w:val="20"/>
          <w:rFonts w:hint="eastAsia" w:ascii="仿宋_GB2312" w:hAnsi="宋体" w:eastAsia="仿宋_GB2312" w:cs="仿宋_GB2312"/>
          <w:color w:val="000000"/>
          <w:sz w:val="28"/>
          <w:szCs w:val="28"/>
        </w:rPr>
        <w:footnoteReference w:id="0"/>
      </w:r>
      <w:r>
        <w:rPr>
          <w:rFonts w:hint="eastAsia" w:ascii="仿宋_GB2312" w:hAnsi="宋体" w:eastAsia="仿宋_GB2312" w:cs="仿宋_GB2312"/>
          <w:color w:val="000000"/>
          <w:sz w:val="28"/>
          <w:szCs w:val="28"/>
        </w:rPr>
        <w:t>。</w:t>
      </w:r>
    </w:p>
    <w:p>
      <w:pPr>
        <w:numPr>
          <w:ilvl w:val="0"/>
          <w:numId w:val="2"/>
        </w:numPr>
        <w:tabs>
          <w:tab w:val="left" w:pos="4183"/>
        </w:tabs>
        <w:adjustRightInd w:val="0"/>
        <w:snapToGrid w:val="0"/>
        <w:spacing w:line="600" w:lineRule="exact"/>
        <w:ind w:firstLine="560" w:firstLineChars="20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考核方式：考核主体方面，闵行区不包含街镇和村级自评，均由非受益对象的区农委、第三方和区级条线部门进行考评，考核结果真实性较高。考核频率方面，闵行区农委、第三方考核频率均为双月考核，部分区则为半年或年底综合考核，闵行区的考核方式更客观、合理。</w:t>
      </w:r>
    </w:p>
    <w:p>
      <w:pPr>
        <w:tabs>
          <w:tab w:val="left" w:pos="4183"/>
        </w:tabs>
        <w:adjustRightInd w:val="0"/>
        <w:snapToGrid w:val="0"/>
        <w:spacing w:line="600" w:lineRule="exact"/>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 xml:space="preserve">    具体对比情况可详见附件5。</w:t>
      </w:r>
    </w:p>
    <w:p>
      <w:pPr>
        <w:adjustRightInd w:val="0"/>
        <w:snapToGrid w:val="0"/>
        <w:spacing w:line="600" w:lineRule="exact"/>
        <w:ind w:firstLine="562" w:firstLineChars="200"/>
        <w:outlineLvl w:val="1"/>
        <w:rPr>
          <w:rFonts w:ascii="仿宋_GB2312" w:hAnsi="仿宋" w:eastAsia="仿宋_GB2312"/>
          <w:b/>
          <w:bCs w:val="0"/>
          <w:sz w:val="28"/>
          <w:szCs w:val="28"/>
        </w:rPr>
      </w:pPr>
      <w:bookmarkStart w:id="19" w:name="_Toc32218"/>
      <w:bookmarkStart w:id="20" w:name="_Toc6002"/>
      <w:r>
        <w:rPr>
          <w:rFonts w:hint="eastAsia" w:ascii="仿宋_GB2312" w:hAnsi="仿宋" w:eastAsia="仿宋_GB2312"/>
          <w:b/>
          <w:bCs w:val="0"/>
          <w:sz w:val="28"/>
          <w:szCs w:val="28"/>
        </w:rPr>
        <w:t>（二）项目内容</w:t>
      </w:r>
      <w:bookmarkEnd w:id="19"/>
      <w:bookmarkEnd w:id="20"/>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本项目作为奖补类项目，项目组将从实施范围和对象、项目起始时间、奖补标准、实施情况、组织管理等奖补类项目的关键要素进行梳理，具体情况如下：</w:t>
      </w:r>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1.实施范围和对象</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全区所有农村地区纳入农村人居环境长效管护资金奖励范围的为建制相对完整的行政村（空壳村和近期动迁撤并村除外），具体情况可详见表1-3。</w:t>
      </w:r>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2.项目起始时间</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2023年1月1日至2023年12月31日</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（政策自2022年4月1日起施行，政策有效期至2027年3月31日。2023年为项目实施的第二年。）</w:t>
      </w:r>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3.奖补标准</w:t>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差异化奖补”原则，给予一般行政村500元/户/年的长效管护奖励资金；给予区级美丽乡村示范村700元/户/年的长效管护奖励资金；给予市级美丽乡村示范村和市级乡村振兴示范村900元/户/年的长效管护奖励资金。街镇按照不低于 1:1 的比例进行资金配套。区级长效管护奖励资金由村委统筹用于村庄环境日常管护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街镇配套资金原则上用于农户积分制考核奖励。</w:t>
      </w:r>
      <w:r>
        <w:rPr>
          <w:rStyle w:val="20"/>
          <w:rFonts w:hint="eastAsia" w:ascii="仿宋_GB2312" w:hAnsi="仿宋_GB2312" w:eastAsia="仿宋_GB2312" w:cs="仿宋_GB2312"/>
          <w:sz w:val="28"/>
          <w:szCs w:val="28"/>
        </w:rPr>
        <w:footnoteReference w:id="1"/>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由区农业农村委根据农村人居环境长效管理年度考核结果按比例拨付。年度综合考核结果为“优秀”，全额拨付长效管护奖励资金；年度综合考核结果为“良好”，按 90%比例拨付；年度综合考核结果为“合格”，按 80%比例拨付；年度综合考核结果为“不合格”，取消该年度区级奖励资金，并进行通报。</w:t>
      </w:r>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4.扶持方式</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奖励资金采取先预拨后清算的方式进行：当年预拨60%奖励资金，次年根据行政村上一年度考核结果进行清算。</w:t>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2023年具体项目奖补标准及具体数量详见表1-3，具体申报情况可详见附件1：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adjustRightInd w:val="0"/>
        <w:snapToGrid w:val="0"/>
        <w:spacing w:line="360" w:lineRule="auto"/>
        <w:ind w:firstLine="561"/>
        <w:jc w:val="center"/>
        <w:rPr>
          <w:rFonts w:ascii="黑体" w:hAnsi="黑体" w:eastAsia="黑体" w:cs="黑体"/>
          <w:szCs w:val="21"/>
        </w:rPr>
      </w:pPr>
      <w:r>
        <w:rPr>
          <w:rFonts w:hint="eastAsia" w:ascii="黑体" w:hAnsi="黑体" w:eastAsia="黑体" w:cs="黑体"/>
          <w:b/>
          <w:bCs/>
          <w:szCs w:val="21"/>
        </w:rPr>
        <w:t>表1-3 2023年</w:t>
      </w:r>
      <w:r>
        <w:rPr>
          <w:rFonts w:hint="eastAsia" w:ascii="黑体" w:hAnsi="黑体" w:eastAsia="黑体" w:cs="黑体"/>
          <w:b/>
          <w:bCs/>
          <w:szCs w:val="21"/>
          <w:lang w:eastAsia="zh-CN"/>
        </w:rPr>
        <w:t>农村人居环境长效管护奖励资金</w:t>
      </w:r>
      <w:r>
        <w:rPr>
          <w:rFonts w:hint="eastAsia" w:ascii="黑体" w:hAnsi="黑体" w:eastAsia="黑体" w:cs="黑体"/>
          <w:b/>
          <w:bCs/>
          <w:szCs w:val="21"/>
        </w:rPr>
        <w:t>具体内容及奖补标准情况汇总表</w:t>
      </w:r>
    </w:p>
    <w:tbl>
      <w:tblPr>
        <w:tblStyle w:val="14"/>
        <w:tblW w:w="9763" w:type="dxa"/>
        <w:tblInd w:w="91" w:type="dxa"/>
        <w:tblLayout w:type="fixed"/>
        <w:tblCellMar>
          <w:top w:w="0" w:type="dxa"/>
          <w:left w:w="108" w:type="dxa"/>
          <w:bottom w:w="0" w:type="dxa"/>
          <w:right w:w="108" w:type="dxa"/>
        </w:tblCellMar>
      </w:tblPr>
      <w:tblGrid>
        <w:gridCol w:w="535"/>
        <w:gridCol w:w="465"/>
        <w:gridCol w:w="720"/>
        <w:gridCol w:w="765"/>
        <w:gridCol w:w="1323"/>
        <w:gridCol w:w="3762"/>
        <w:gridCol w:w="1286"/>
        <w:gridCol w:w="907"/>
      </w:tblGrid>
      <w:tr>
        <w:tblPrEx>
          <w:tblCellMar>
            <w:top w:w="0" w:type="dxa"/>
            <w:left w:w="108" w:type="dxa"/>
            <w:bottom w:w="0" w:type="dxa"/>
            <w:right w:w="108" w:type="dxa"/>
          </w:tblCellMar>
        </w:tblPrEx>
        <w:trPr>
          <w:cantSplit/>
          <w:trHeight w:val="23" w:hRule="atLeast"/>
          <w:tblHead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二级细分</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三级细分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项目类型</w:t>
            </w:r>
          </w:p>
        </w:tc>
        <w:tc>
          <w:tcPr>
            <w:tcW w:w="72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2023年申报情况</w:t>
            </w:r>
          </w:p>
        </w:tc>
      </w:tr>
      <w:tr>
        <w:tblPrEx>
          <w:tblCellMar>
            <w:top w:w="0" w:type="dxa"/>
            <w:left w:w="108" w:type="dxa"/>
            <w:bottom w:w="0" w:type="dxa"/>
            <w:right w:w="108" w:type="dxa"/>
          </w:tblCellMar>
        </w:tblPrEx>
        <w:trPr>
          <w:cantSplit/>
          <w:trHeight w:val="23" w:hRule="atLeast"/>
          <w:tblHead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b/>
                <w:bCs/>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所属镇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涉及村数</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b/>
                <w:bCs/>
                <w:color w:val="000000"/>
                <w:sz w:val="22"/>
                <w:szCs w:val="22"/>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奖补标准</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sz w:val="22"/>
                <w:szCs w:val="22"/>
              </w:rPr>
              <w:t>奖补情况</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宅基户数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资金发放对象</w:t>
            </w:r>
          </w:p>
        </w:tc>
      </w:tr>
      <w:tr>
        <w:tblPrEx>
          <w:tblCellMar>
            <w:top w:w="0" w:type="dxa"/>
            <w:left w:w="108" w:type="dxa"/>
            <w:bottom w:w="0" w:type="dxa"/>
            <w:right w:w="108" w:type="dxa"/>
          </w:tblCellMar>
        </w:tblPrEx>
        <w:trPr>
          <w:cantSplit/>
          <w:trHeight w:val="23"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r>
              <w:rPr>
                <w:rFonts w:ascii="仿宋_GB2312" w:hAnsi="宋体" w:eastAsia="仿宋_GB2312" w:cs="仿宋_GB2312"/>
                <w:color w:val="000000"/>
                <w:kern w:val="0"/>
                <w:sz w:val="22"/>
                <w:szCs w:val="22"/>
                <w:lang w:bidi="ar"/>
              </w:rPr>
              <w:t>022</w:t>
            </w:r>
            <w:r>
              <w:rPr>
                <w:rFonts w:hint="eastAsia" w:ascii="仿宋_GB2312" w:hAnsi="宋体" w:eastAsia="仿宋_GB2312" w:cs="仿宋_GB2312"/>
                <w:color w:val="000000"/>
                <w:kern w:val="0"/>
                <w:sz w:val="22"/>
                <w:szCs w:val="22"/>
                <w:lang w:bidi="ar"/>
              </w:rPr>
              <w:t>年长效管理奖励资金考核部分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浦江镇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一般行政村200元/户、区级美丽乡村示范村280元/户、市级美丽乡村示范村和市级乡村振兴示范村360元/户</w:t>
            </w:r>
          </w:p>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涉及22个一般村庄、6个区级美丽乡村示范村、2个市级美丽乡村示范村以及1个市级乡村振兴示范村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共12399户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吴泾镇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涉及1个一般村庄、2个区级美丽乡村示范村、2个市级美丽乡村示范村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共1787户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马桥镇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涉及2个一般村庄、2个区级美丽乡村示范村、1个市级美丽乡村示范村以及2个市级乡村振兴示范村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共2936户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颛桥镇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涉及1个区级美丽乡村示范村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共90户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梅陇镇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涉及5个一般村庄、2个区级美丽乡村示范村、1个市级美丽乡村示范村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共2479户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华漕镇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涉及8个一般村庄、1个区级美丽乡村示范村、3个市级美丽乡村示范村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共4191户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七宝镇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涉及2个一般村庄</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共443户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浦锦街道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涉及3个一般村庄、5个区级美丽乡村示范村、1个市级美丽乡村示范村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共2651户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共26976户</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r>
      <w:tr>
        <w:tblPrEx>
          <w:tblCellMar>
            <w:top w:w="0" w:type="dxa"/>
            <w:left w:w="108" w:type="dxa"/>
            <w:bottom w:w="0" w:type="dxa"/>
            <w:right w:w="108" w:type="dxa"/>
          </w:tblCellMar>
        </w:tblPrEx>
        <w:trPr>
          <w:cantSplit/>
          <w:trHeight w:val="23"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r>
              <w:rPr>
                <w:rFonts w:ascii="仿宋_GB2312" w:hAnsi="宋体" w:eastAsia="仿宋_GB2312" w:cs="仿宋_GB2312"/>
                <w:color w:val="000000"/>
                <w:kern w:val="0"/>
                <w:sz w:val="22"/>
                <w:szCs w:val="22"/>
                <w:lang w:bidi="ar"/>
              </w:rPr>
              <w:t>023</w:t>
            </w:r>
            <w:r>
              <w:rPr>
                <w:rFonts w:hint="eastAsia" w:ascii="仿宋_GB2312" w:hAnsi="宋体" w:eastAsia="仿宋_GB2312" w:cs="仿宋_GB2312"/>
                <w:color w:val="000000"/>
                <w:kern w:val="0"/>
                <w:sz w:val="22"/>
                <w:szCs w:val="22"/>
                <w:lang w:bidi="ar"/>
              </w:rPr>
              <w:t>年长效管理奖励资金基础部分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浦江镇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 w:val="22"/>
                <w:szCs w:val="22"/>
                <w:lang w:bidi="ar"/>
              </w:rPr>
            </w:pPr>
            <w:r>
              <w:rPr>
                <w:rFonts w:hint="eastAsia" w:ascii="仿宋_GB2312" w:hAnsi="宋体" w:eastAsia="仿宋_GB2312" w:cs="仿宋_GB2312"/>
                <w:color w:val="000000"/>
                <w:kern w:val="0"/>
                <w:sz w:val="22"/>
                <w:szCs w:val="22"/>
                <w:lang w:bidi="ar"/>
              </w:rPr>
              <w:t>一般行政村300元/户、区级美丽乡村示范村420元/户、市级美丽乡村示范村和市级乡村振兴示范村540元/户</w:t>
            </w:r>
          </w:p>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涉及22个一般村庄、6个区级美丽乡村示范村、2个市级美丽乡村示范村以及1个市级乡村振兴示范村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共11514户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吴泾镇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涉及1个一般村庄、2个区级美丽乡村示范村、2个市级美丽乡村示范村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共1474户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马桥镇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涉及2个一般村庄、2个区级美丽乡村示范村、1个市级美丽乡村示范村以及2个市级乡村振兴示范村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共2619户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颛桥镇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涉及1个区级美丽乡村示范村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共90户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梅陇镇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涉及5个一般村庄、2个区级美丽乡村示范村、1个市级美丽乡村示范村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共2088户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华漕镇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涉及8个一般村庄、1个区级美丽乡村示范村、3个市级美丽乡村示范村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共4191户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七宝镇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涉及2个一般村庄</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共443户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浦锦街道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涉及3个一般村庄、5个区级美丽乡村示范村、1个市级美丽乡村示范村</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共2651户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浦江镇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100元/户</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用于苏民、东风、镇北、汇宏共4个2021年新增区级美丽乡村示范村考核奖励补差</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共2089户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马桥镇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奖补</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100元/户</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用于友好村的2021年新增区级美丽乡村示范村考核奖励补差</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共326户</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对应行政村</w:t>
            </w:r>
          </w:p>
        </w:tc>
      </w:tr>
      <w:tr>
        <w:tblPrEx>
          <w:tblCellMar>
            <w:top w:w="0" w:type="dxa"/>
            <w:left w:w="108" w:type="dxa"/>
            <w:bottom w:w="0" w:type="dxa"/>
            <w:right w:w="108" w:type="dxa"/>
          </w:tblCellMar>
        </w:tblPrEx>
        <w:trPr>
          <w:cantSplit/>
          <w:trHeight w:val="23"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共25070户</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r>
    </w:tbl>
    <w:p>
      <w:pPr>
        <w:adjustRightInd w:val="0"/>
        <w:snapToGrid w:val="0"/>
        <w:spacing w:line="600" w:lineRule="exact"/>
        <w:ind w:firstLine="561"/>
        <w:jc w:val="left"/>
        <w:rPr>
          <w:rFonts w:ascii="仿宋_GB2312" w:hAnsi="仿宋" w:eastAsia="仿宋_GB2312"/>
          <w:b/>
          <w:sz w:val="22"/>
          <w:szCs w:val="22"/>
        </w:rPr>
      </w:pPr>
      <w:r>
        <w:rPr>
          <w:rFonts w:hint="eastAsia" w:ascii="仿宋_GB2312" w:hAnsi="仿宋" w:eastAsia="仿宋_GB2312"/>
          <w:b/>
          <w:sz w:val="22"/>
          <w:szCs w:val="22"/>
        </w:rPr>
        <w:t>注：上表中除浦锦街道涉及的9个村区级奖补资金外，其他68个村的区级奖补资金均列入区农业农村委部门预算，浦锦街道的区级奖补资金列入当年度街道预算。</w:t>
      </w:r>
    </w:p>
    <w:p>
      <w:pPr>
        <w:adjustRightInd w:val="0"/>
        <w:snapToGrid w:val="0"/>
        <w:spacing w:line="600" w:lineRule="exact"/>
        <w:ind w:firstLine="561"/>
        <w:jc w:val="left"/>
        <w:rPr>
          <w:rFonts w:ascii="仿宋_GB2312" w:hAnsi="仿宋" w:eastAsia="仿宋_GB2312"/>
          <w:b/>
          <w:bCs w:val="0"/>
          <w:sz w:val="28"/>
          <w:szCs w:val="28"/>
        </w:rPr>
      </w:pPr>
      <w:r>
        <w:rPr>
          <w:rFonts w:hint="eastAsia" w:ascii="仿宋_GB2312" w:hAnsi="仿宋" w:eastAsia="仿宋_GB2312"/>
          <w:b/>
          <w:bCs w:val="0"/>
          <w:sz w:val="28"/>
          <w:szCs w:val="28"/>
          <w:lang w:val="en-US" w:eastAsia="zh-CN"/>
        </w:rPr>
        <w:t>5</w:t>
      </w:r>
      <w:r>
        <w:rPr>
          <w:rFonts w:hint="eastAsia" w:ascii="仿宋_GB2312" w:hAnsi="仿宋" w:eastAsia="仿宋_GB2312"/>
          <w:b/>
          <w:bCs w:val="0"/>
          <w:sz w:val="28"/>
          <w:szCs w:val="28"/>
        </w:rPr>
        <w:t>.近三年项目实施情况</w:t>
      </w:r>
    </w:p>
    <w:p>
      <w:pPr>
        <w:adjustRightInd w:val="0"/>
        <w:snapToGrid w:val="0"/>
        <w:spacing w:line="600" w:lineRule="exact"/>
        <w:ind w:firstLine="561"/>
        <w:jc w:val="left"/>
        <w:rPr>
          <w:rFonts w:hint="eastAsia" w:ascii="仿宋_GB2312" w:hAnsi="仿宋" w:eastAsia="仿宋_GB2312"/>
          <w:bCs/>
          <w:sz w:val="28"/>
          <w:szCs w:val="28"/>
        </w:rPr>
      </w:pPr>
      <w:r>
        <w:rPr>
          <w:rFonts w:hint="eastAsia" w:ascii="仿宋_GB2312" w:hAnsi="仿宋" w:eastAsia="仿宋_GB2312"/>
          <w:bCs/>
          <w:sz w:val="28"/>
          <w:szCs w:val="28"/>
        </w:rPr>
        <w:t>2020至2022年9月30日，项目的实施情况具体如下表1-4所示，近三年资金奖补情况可详见表1-7、1-8：</w:t>
      </w:r>
    </w:p>
    <w:p>
      <w:pPr>
        <w:rPr>
          <w:rFonts w:hint="eastAsia" w:ascii="仿宋_GB2312" w:hAnsi="仿宋" w:eastAsia="仿宋_GB2312"/>
          <w:bCs/>
          <w:sz w:val="28"/>
          <w:szCs w:val="28"/>
        </w:rPr>
      </w:pPr>
      <w:r>
        <w:rPr>
          <w:rFonts w:hint="eastAsia" w:ascii="仿宋_GB2312" w:hAnsi="仿宋" w:eastAsia="仿宋_GB2312"/>
          <w:bCs/>
          <w:sz w:val="28"/>
          <w:szCs w:val="28"/>
        </w:rPr>
        <w:br w:type="page"/>
      </w:r>
    </w:p>
    <w:p>
      <w:pPr>
        <w:adjustRightInd w:val="0"/>
        <w:snapToGrid w:val="0"/>
        <w:ind w:firstLine="561"/>
        <w:jc w:val="center"/>
        <w:rPr>
          <w:rFonts w:ascii="黑体" w:hAnsi="黑体" w:eastAsia="黑体" w:cs="黑体"/>
          <w:bCs/>
          <w:szCs w:val="21"/>
        </w:rPr>
      </w:pPr>
      <w:r>
        <w:rPr>
          <w:rFonts w:hint="eastAsia" w:ascii="黑体" w:hAnsi="黑体" w:eastAsia="黑体" w:cs="黑体"/>
          <w:b/>
          <w:bCs/>
          <w:szCs w:val="21"/>
        </w:rPr>
        <w:t>表1-4 2020至2022年9月底实施情况汇总表</w:t>
      </w:r>
    </w:p>
    <w:tbl>
      <w:tblPr>
        <w:tblStyle w:val="14"/>
        <w:tblW w:w="4995" w:type="pct"/>
        <w:tblInd w:w="0" w:type="dxa"/>
        <w:tblLayout w:type="fixed"/>
        <w:tblCellMar>
          <w:top w:w="0" w:type="dxa"/>
          <w:left w:w="108" w:type="dxa"/>
          <w:bottom w:w="0" w:type="dxa"/>
          <w:right w:w="108" w:type="dxa"/>
        </w:tblCellMar>
      </w:tblPr>
      <w:tblGrid>
        <w:gridCol w:w="726"/>
        <w:gridCol w:w="982"/>
        <w:gridCol w:w="1229"/>
        <w:gridCol w:w="1336"/>
        <w:gridCol w:w="1106"/>
        <w:gridCol w:w="1335"/>
        <w:gridCol w:w="1833"/>
        <w:gridCol w:w="1298"/>
      </w:tblGrid>
      <w:tr>
        <w:tblPrEx>
          <w:tblCellMar>
            <w:top w:w="0" w:type="dxa"/>
            <w:left w:w="108" w:type="dxa"/>
            <w:bottom w:w="0" w:type="dxa"/>
            <w:right w:w="108" w:type="dxa"/>
          </w:tblCellMar>
        </w:tblPrEx>
        <w:trPr>
          <w:cantSplit/>
          <w:trHeight w:val="23" w:hRule="atLeast"/>
          <w:tblHeader/>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二级细分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三级细分</w:t>
            </w:r>
          </w:p>
        </w:tc>
        <w:tc>
          <w:tcPr>
            <w:tcW w:w="4132" w:type="pct"/>
            <w:gridSpan w:val="6"/>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近三年实施情况</w:t>
            </w:r>
          </w:p>
        </w:tc>
      </w:tr>
      <w:tr>
        <w:tblPrEx>
          <w:tblCellMar>
            <w:top w:w="0" w:type="dxa"/>
            <w:left w:w="108" w:type="dxa"/>
            <w:bottom w:w="0" w:type="dxa"/>
            <w:right w:w="108" w:type="dxa"/>
          </w:tblCellMar>
        </w:tblPrEx>
        <w:trPr>
          <w:cantSplit/>
          <w:trHeight w:val="23" w:hRule="atLeast"/>
          <w:tblHeader/>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b/>
                <w:bCs/>
                <w:color w:val="000000"/>
                <w:sz w:val="22"/>
                <w:szCs w:val="22"/>
              </w:rPr>
            </w:pP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所属镇</w:t>
            </w:r>
          </w:p>
        </w:tc>
        <w:tc>
          <w:tcPr>
            <w:tcW w:w="13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2020年</w:t>
            </w:r>
          </w:p>
        </w:tc>
        <w:tc>
          <w:tcPr>
            <w:tcW w:w="1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2021年</w:t>
            </w:r>
          </w:p>
        </w:tc>
        <w:tc>
          <w:tcPr>
            <w:tcW w:w="15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2022年</w:t>
            </w:r>
          </w:p>
        </w:tc>
      </w:tr>
      <w:tr>
        <w:tblPrEx>
          <w:tblCellMar>
            <w:top w:w="0" w:type="dxa"/>
            <w:left w:w="108" w:type="dxa"/>
            <w:bottom w:w="0" w:type="dxa"/>
            <w:right w:w="108" w:type="dxa"/>
          </w:tblCellMar>
        </w:tblPrEx>
        <w:trPr>
          <w:cantSplit/>
          <w:trHeight w:val="23" w:hRule="atLeast"/>
          <w:tblHeader/>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b/>
                <w:bCs/>
                <w:color w:val="000000"/>
                <w:sz w:val="22"/>
                <w:szCs w:val="22"/>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宋体" w:eastAsia="仿宋_GB2312" w:cs="仿宋_GB2312"/>
                <w:b/>
                <w:bCs/>
                <w:color w:val="000000"/>
                <w:sz w:val="22"/>
                <w:szCs w:val="22"/>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奖补情况</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宅基户数</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奖补情况</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宅基户数</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奖补情况</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宅基户数</w:t>
            </w:r>
          </w:p>
        </w:tc>
      </w:tr>
      <w:tr>
        <w:tblPrEx>
          <w:tblCellMar>
            <w:top w:w="0" w:type="dxa"/>
            <w:left w:w="108" w:type="dxa"/>
            <w:bottom w:w="0" w:type="dxa"/>
            <w:right w:w="108" w:type="dxa"/>
          </w:tblCellMar>
        </w:tblPrEx>
        <w:trPr>
          <w:cantSplit/>
          <w:trHeight w:val="23"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长效管理奖励资金考核部分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浦江镇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涉及1个生态型、8个宜居型、9个整洁型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共7012户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涉及1个生态型、10个宜居型、8个整洁型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共8837户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涉及1个生态型、10个宜居型、8个整洁型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共8837户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吴泾镇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涉及1个生态型、3个宜居型、1个整洁型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共1933户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涉及1个生态型、3个宜居型、1个整洁型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共1933户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涉及1个生态型、3个宜居型、1个整洁型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共1933户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马桥镇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涉及2个生态型、3个宜居型、1个整洁型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共2500户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涉及2个生态型、3个宜居型、2个整洁型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共2658户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涉及2个生态型、3个宜居型、2个整洁型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共2658户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颛桥镇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共169户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共90户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涉及1个整洁型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共90户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梅陇镇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共2981户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共2891户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涉及8个整洁型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共2891户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华漕镇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共4920户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共4920户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涉及1个生态型、11个整洁型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共4920户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七宝镇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浦锦街道</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涉及1个生态型、8个宜居型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共3761户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涉及1个生态型、8个宜居型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共3761户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涉及1个生态型、8个宜居型</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共3761户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b/>
                <w:bCs/>
                <w:color w:val="000000"/>
                <w:kern w:val="0"/>
                <w:sz w:val="22"/>
                <w:szCs w:val="22"/>
                <w:lang w:bidi="ar"/>
              </w:rPr>
              <w:t>合计</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共23276户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共25090户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共25090户</w:t>
            </w:r>
          </w:p>
        </w:tc>
      </w:tr>
      <w:tr>
        <w:tblPrEx>
          <w:tblCellMar>
            <w:top w:w="0" w:type="dxa"/>
            <w:left w:w="108" w:type="dxa"/>
            <w:bottom w:w="0" w:type="dxa"/>
            <w:right w:w="108" w:type="dxa"/>
          </w:tblCellMar>
        </w:tblPrEx>
        <w:trPr>
          <w:cantSplit/>
          <w:trHeight w:val="23"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长效管理奖励资金基础部分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浦江镇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涉及1个生态型、10个宜居型、8个整洁型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共8837户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涉及1个生态型、10个宜居型、8个整洁型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共8837户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涉及22个一般村庄、6个区级美丽乡村示范村、2个市级美丽乡村示范村以及1个市级乡村振兴示范村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共12741户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吴泾镇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涉及1个生态型、3个宜居型、1个整洁型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共1933户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涉及1个生态型、3个宜居型、1个整洁型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共1933户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涉及1个一般村庄、2个区级美丽乡村示范村、2个市级美丽乡村示范村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共1787户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马桥镇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涉及2个生态型、3个宜居型、2个整洁型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共2658户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涉及2个生态型、3个宜居型、2个整洁型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共2658户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涉及2个一般村庄、2个区级美丽乡村示范村、1个市级美丽乡村示范村以及2个市级乡村振兴示范村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共2936户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颛桥镇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共90户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共90户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涉及1个区级美丽乡村示范村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共90户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梅陇镇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共2891户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共2891户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涉及5个一般村庄、2个区级美丽乡村示范村、1个市级美丽乡村示范村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共2479户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华漕镇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共4920户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涉及1个生态型、11个整洁型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共4920户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涉及8个一般村庄、1个区级美丽乡村示范村、3个市级美丽乡村示范村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共4191户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七宝镇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涉及2个一般村庄</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共443户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浦锦街道</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涉及1个生态型、8个宜居型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共3761户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涉及1个生态型、8个宜居型</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共3761户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涉及3个一般村庄、5个区级美丽乡村示范村、1个市级美丽乡村示范村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共2651户</w:t>
            </w:r>
          </w:p>
        </w:tc>
      </w:tr>
      <w:tr>
        <w:tblPrEx>
          <w:tblCellMar>
            <w:top w:w="0" w:type="dxa"/>
            <w:left w:w="108" w:type="dxa"/>
            <w:bottom w:w="0" w:type="dxa"/>
            <w:right w:w="108" w:type="dxa"/>
          </w:tblCellMar>
        </w:tblPrEx>
        <w:trPr>
          <w:cantSplit/>
          <w:trHeight w:val="23"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 w:val="22"/>
                <w:szCs w:val="22"/>
              </w:rPr>
            </w:pPr>
          </w:p>
        </w:tc>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合计</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共25090户</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共25070户</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 w:val="22"/>
                <w:szCs w:val="22"/>
              </w:rPr>
            </w:pPr>
            <w:r>
              <w:rPr>
                <w:rFonts w:hint="eastAsia" w:ascii="仿宋_GB2312" w:hAnsi="宋体" w:eastAsia="仿宋_GB2312" w:cs="仿宋_GB2312"/>
                <w:b/>
                <w:bCs/>
                <w:color w:val="000000"/>
                <w:kern w:val="0"/>
                <w:sz w:val="22"/>
                <w:szCs w:val="22"/>
                <w:lang w:bidi="ar"/>
              </w:rPr>
              <w:t>共27318户</w:t>
            </w:r>
          </w:p>
        </w:tc>
      </w:tr>
    </w:tbl>
    <w:p>
      <w:pPr>
        <w:adjustRightInd w:val="0"/>
        <w:snapToGrid w:val="0"/>
        <w:spacing w:line="600" w:lineRule="exact"/>
        <w:ind w:firstLine="561"/>
        <w:jc w:val="left"/>
        <w:rPr>
          <w:rFonts w:ascii="仿宋_GB2312" w:hAnsi="仿宋" w:eastAsia="仿宋_GB2312"/>
          <w:b/>
          <w:bCs w:val="0"/>
          <w:sz w:val="28"/>
          <w:szCs w:val="28"/>
        </w:rPr>
      </w:pPr>
      <w:r>
        <w:rPr>
          <w:rFonts w:hint="eastAsia" w:ascii="仿宋_GB2312" w:hAnsi="仿宋" w:eastAsia="仿宋_GB2312"/>
          <w:b/>
          <w:bCs w:val="0"/>
          <w:sz w:val="28"/>
          <w:szCs w:val="28"/>
          <w:lang w:val="en-US" w:eastAsia="zh-CN"/>
        </w:rPr>
        <w:t>6</w:t>
      </w:r>
      <w:r>
        <w:rPr>
          <w:rFonts w:hint="eastAsia" w:ascii="仿宋_GB2312" w:hAnsi="仿宋" w:eastAsia="仿宋_GB2312"/>
          <w:b/>
          <w:bCs w:val="0"/>
          <w:sz w:val="28"/>
          <w:szCs w:val="28"/>
        </w:rPr>
        <w:t>.组织管理</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（1）组织架构</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1）区农业农村委主要负责统筹抓总，牵头相关部门，对农村人居环境中村庄环境管理、民房出租管理等制定标准，按照标准进行考核，并指定第三方公司进行考核工作，根据考核结果发放奖励资金。</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2）区财政局主要负责审核年度区级农村人居环境长效管护奖励资金预算，做好区对镇财力结算资金的下达，对扶持资金的使用管理实行监督检查。</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3）区水务局、区绿化和市容管理局等部门作为区级条线部门，主要负责协助区农业农村委开展长效管护考核工作。</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4）各街镇为项目责任主体，主要负责镇级长效管护奖励资金的配套和区级资金的具体发放，并指导行政村开展日常农村人居环境长效管护工作。</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5）村委会为项目实施主体，主要负责制定各村农村人居环境长效管护办法并开展宅前屋后清理、垃圾清运等长效管护工作，并做好台账管理等工作。</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6）第三方公司作为项目考核单位，每两个月进行一次全覆盖评估，出具评估报告等。</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7）辖区村民为农村人居环境长效管护奖励直接受益方。</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（2）管理流程</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项目组根据项目实际管理流程特点，将项目管理流程分解为项目立项、工作考核、确定奖补等次、资金拨付、资金使用，共5个主要环节，具体如下：</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1）项目立项</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每年9月预算申报前，区农业农村委要求各街镇、行政村重新排摸辖区内宅基户数量情况，将动迁上楼及拟定拆迁的宅基户进行清退；各村以宅基户所持宅基证及行政村宅基区位图等为参照进行排摸，形成宅基户台账并汇总盖章后上报至街镇，街镇在确认后盖章上报至区农业农村委。</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区农业农村委根据各街镇上报宅基户数结合上年度考核结果编制农村人居环境长效管护奖励项目预算报送区财政局审核，区财政局审核通过后完成项目立项并安排区级财政资金。</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2）工作考核</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区农业农村委、第三方单位和区级条线部门根据《闵行区推广农村人居环境积分制管理实施方案》（闵乡村振兴办〔2022〕7号）三方联动考核方式。区农业农村委开展日常巡查，并根据巡查打分情况进行双月排名；第三方单位每两个月开展一次全覆盖巡查，出具巡查报告；区级条线部门结合行业监管</w:t>
      </w:r>
      <w:r>
        <w:rPr>
          <w:rFonts w:hint="eastAsia" w:ascii="仿宋_GB2312" w:hAnsi="仿宋" w:eastAsia="仿宋_GB2312"/>
          <w:bCs/>
          <w:sz w:val="28"/>
          <w:szCs w:val="28"/>
          <w:lang w:eastAsia="zh-CN"/>
        </w:rPr>
        <w:t>要求</w:t>
      </w:r>
      <w:r>
        <w:rPr>
          <w:rFonts w:hint="eastAsia" w:ascii="仿宋_GB2312" w:hAnsi="仿宋" w:eastAsia="仿宋_GB2312"/>
          <w:bCs/>
          <w:sz w:val="28"/>
          <w:szCs w:val="28"/>
        </w:rPr>
        <w:t>开展日常检查与考核评估工作， 最后形成年度综合考核分数。（三者权重比例分别为区农业农村委考核40%，第三方考核30%，区级条线部门考核30%）。</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3）确定奖补等次</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行政村长效管护奖励资金等次与年度综合考核结果相挂钩。年度综合考核结果分为“优秀”、“良好”、“合格”以及“不合格”四档，区农业农村委根据考核等次，给予“优秀”、“良好”、“合格”等次的行政村对应挡位的奖励资金；同时，对于考核等次为“不合格”的行政村，取消该年度区级长效管护奖励资金，并进行通报。</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4）资金拨付</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区级财政资金通过区对镇财力结算下达至各镇，街道资金安排至街道年初预算。拨付方式为跨年度；当年预拨60%长效管护奖励资金，次年根据各行政村上一年度农村人居环境长效管理年度综合考核结果进行清算。在区级财政资金到位后，街镇将配套资金一同拨付至村委。</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5）资金使用</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区级长效管护奖励资金由村委统筹用于垃圾清运、保洁、宅前屋后环境整治、村庄公共区域环境管理等村内环境日常维护和管理，街镇配套资金原则上用于农户积分制奖励，以调动村民参与村庄环境自治共治的积极性和主动性。</w:t>
      </w:r>
    </w:p>
    <w:p>
      <w:pPr>
        <w:adjustRightInd w:val="0"/>
        <w:snapToGrid w:val="0"/>
        <w:spacing w:line="600" w:lineRule="exact"/>
        <w:ind w:firstLine="561"/>
        <w:jc w:val="left"/>
        <w:rPr>
          <w:rFonts w:ascii="仿宋_GB2312" w:hAnsi="仿宋" w:eastAsia="仿宋_GB2312"/>
          <w:bCs/>
          <w:sz w:val="28"/>
          <w:szCs w:val="28"/>
        </w:rPr>
      </w:pPr>
      <w:r>
        <w:rPr>
          <w:rFonts w:hint="eastAsia" w:ascii="仿宋_GB2312" w:hAnsi="仿宋" w:eastAsia="仿宋_GB2312"/>
          <w:bCs/>
          <w:sz w:val="28"/>
          <w:szCs w:val="28"/>
        </w:rPr>
        <w:t>各街镇每年底对当年度区、镇两级农村人居环境长效管护奖励资金的使用情况进行梳理，并形成报告上报至区农业农村委备案。</w:t>
      </w:r>
    </w:p>
    <w:p>
      <w:pPr>
        <w:bidi w:val="0"/>
        <w:jc w:val="center"/>
      </w:pPr>
      <w:bookmarkStart w:id="21" w:name="_Toc29536"/>
      <w:r>
        <w:object>
          <v:shape id="_x0000_i1025" o:spt="75" type="#_x0000_t75" style="height:204.5pt;width:447.6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bookmarkEnd w:id="21"/>
    </w:p>
    <w:p>
      <w:pPr>
        <w:adjustRightInd w:val="0"/>
        <w:snapToGrid w:val="0"/>
        <w:spacing w:line="600" w:lineRule="exact"/>
        <w:ind w:firstLine="561"/>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图1-1 项目管理流程图</w:t>
      </w:r>
    </w:p>
    <w:p>
      <w:pPr>
        <w:adjustRightInd w:val="0"/>
        <w:snapToGrid w:val="0"/>
        <w:spacing w:line="600" w:lineRule="exact"/>
        <w:ind w:firstLine="562" w:firstLineChars="200"/>
        <w:outlineLvl w:val="1"/>
        <w:rPr>
          <w:rFonts w:ascii="仿宋_GB2312" w:hAnsi="仿宋" w:eastAsia="仿宋_GB2312"/>
          <w:b/>
          <w:sz w:val="28"/>
          <w:szCs w:val="28"/>
        </w:rPr>
      </w:pPr>
      <w:bookmarkStart w:id="22" w:name="_Toc23144"/>
      <w:bookmarkStart w:id="23" w:name="_Toc29507"/>
      <w:r>
        <w:rPr>
          <w:rFonts w:hint="eastAsia" w:ascii="仿宋_GB2312" w:hAnsi="仿宋" w:eastAsia="仿宋_GB2312"/>
          <w:b/>
          <w:sz w:val="28"/>
          <w:szCs w:val="28"/>
        </w:rPr>
        <w:t>（三）项目预算</w:t>
      </w:r>
      <w:bookmarkEnd w:id="22"/>
      <w:bookmarkEnd w:id="23"/>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1.2023年项目预算</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闵行区2023年农村人居环境长效管护奖励资金项目申报区级预算1449.53万元，均为区对镇财力结算项目，区农委预算涉及7个镇66个村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政策原定区级预算涉及68个村，由于</w:t>
      </w:r>
      <w:r>
        <w:rPr>
          <w:rFonts w:hint="eastAsia" w:ascii="仿宋_GB2312" w:hAnsi="仿宋_GB2312" w:eastAsia="仿宋_GB2312" w:cs="仿宋_GB2312"/>
          <w:sz w:val="28"/>
          <w:szCs w:val="28"/>
          <w:lang w:eastAsia="zh-CN"/>
        </w:rPr>
        <w:t>浦江镇建中村、知新村已确定动迁，</w:t>
      </w:r>
      <w:r>
        <w:rPr>
          <w:rFonts w:hint="eastAsia" w:ascii="仿宋_GB2312" w:hAnsi="仿宋_GB2312" w:eastAsia="仿宋_GB2312" w:cs="仿宋_GB2312"/>
          <w:sz w:val="28"/>
          <w:szCs w:val="28"/>
          <w:lang w:val="en-US" w:eastAsia="zh-CN"/>
        </w:rPr>
        <w:t>故不再</w:t>
      </w:r>
      <w:r>
        <w:rPr>
          <w:rFonts w:hint="eastAsia" w:ascii="仿宋_GB2312" w:hAnsi="仿宋_GB2312" w:eastAsia="仿宋_GB2312" w:cs="仿宋_GB2312"/>
          <w:sz w:val="28"/>
          <w:szCs w:val="28"/>
          <w:lang w:eastAsia="zh-CN"/>
        </w:rPr>
        <w:t>安排</w:t>
      </w:r>
      <w:r>
        <w:rPr>
          <w:rFonts w:hint="eastAsia" w:ascii="仿宋_GB2312" w:hAnsi="仿宋_GB2312" w:eastAsia="仿宋_GB2312" w:cs="仿宋_GB2312"/>
          <w:sz w:val="28"/>
          <w:szCs w:val="28"/>
          <w:lang w:val="en-US" w:eastAsia="zh-CN"/>
        </w:rPr>
        <w:t>以上2村</w:t>
      </w:r>
      <w:r>
        <w:rPr>
          <w:rFonts w:hint="eastAsia" w:ascii="仿宋_GB2312" w:hAnsi="仿宋_GB2312" w:eastAsia="仿宋_GB2312" w:cs="仿宋_GB2312"/>
          <w:sz w:val="28"/>
          <w:szCs w:val="28"/>
          <w:lang w:eastAsia="zh-CN"/>
        </w:rPr>
        <w:t>奖励资金</w:t>
      </w:r>
      <w:r>
        <w:rPr>
          <w:rFonts w:hint="eastAsia" w:ascii="仿宋_GB2312" w:hAnsi="仿宋_GB2312" w:eastAsia="仿宋_GB2312" w:cs="仿宋_GB2312"/>
          <w:sz w:val="28"/>
          <w:szCs w:val="28"/>
          <w:lang w:val="en-US" w:eastAsia="zh-CN"/>
        </w:rPr>
        <w:t>预算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算由根据上年度考核结果核算的长效管理奖励资金考核部分（以下简称“考核部分”），以及根据最新宅基户数据编制的当年度长效管理奖励资金基础部分（以下简称“考核基础”）两部分组成，其中考核部分预算596.82万元，基础部分预算852.71万元，明细见表1-5：</w:t>
      </w:r>
    </w:p>
    <w:p>
      <w:pPr>
        <w:adjustRightInd w:val="0"/>
        <w:snapToGrid w:val="0"/>
        <w:jc w:val="center"/>
        <w:rPr>
          <w:rFonts w:ascii="黑体" w:hAnsi="黑体" w:eastAsia="黑体" w:cs="黑体"/>
          <w:b/>
          <w:szCs w:val="21"/>
        </w:rPr>
      </w:pPr>
      <w:r>
        <w:rPr>
          <w:rFonts w:hint="eastAsia" w:ascii="黑体" w:hAnsi="黑体" w:eastAsia="黑体" w:cs="黑体"/>
          <w:b/>
          <w:szCs w:val="21"/>
        </w:rPr>
        <w:t>表1-5</w:t>
      </w:r>
      <w:r>
        <w:rPr>
          <w:rStyle w:val="20"/>
          <w:rFonts w:hint="eastAsia" w:ascii="黑体" w:hAnsi="黑体" w:eastAsia="黑体" w:cs="黑体"/>
          <w:b/>
          <w:szCs w:val="21"/>
        </w:rPr>
        <w:footnoteReference w:id="2"/>
      </w:r>
      <w:r>
        <w:rPr>
          <w:rFonts w:hint="eastAsia" w:ascii="黑体" w:hAnsi="黑体" w:eastAsia="黑体" w:cs="黑体"/>
          <w:b/>
          <w:szCs w:val="21"/>
        </w:rPr>
        <w:t xml:space="preserve">  闵行区2023年农村人居环境长效管护奖励资金项目预算申报明细表（区对镇财力结算项目）</w:t>
      </w:r>
    </w:p>
    <w:tbl>
      <w:tblPr>
        <w:tblStyle w:val="14"/>
        <w:tblW w:w="0" w:type="auto"/>
        <w:tblInd w:w="91" w:type="dxa"/>
        <w:tblLayout w:type="fixed"/>
        <w:tblCellMar>
          <w:top w:w="0" w:type="dxa"/>
          <w:left w:w="108" w:type="dxa"/>
          <w:bottom w:w="0" w:type="dxa"/>
          <w:right w:w="108" w:type="dxa"/>
        </w:tblCellMar>
      </w:tblPr>
      <w:tblGrid>
        <w:gridCol w:w="768"/>
        <w:gridCol w:w="745"/>
        <w:gridCol w:w="663"/>
        <w:gridCol w:w="1067"/>
        <w:gridCol w:w="1958"/>
        <w:gridCol w:w="2187"/>
        <w:gridCol w:w="888"/>
        <w:gridCol w:w="1487"/>
      </w:tblGrid>
      <w:tr>
        <w:tblPrEx>
          <w:tblCellMar>
            <w:top w:w="0" w:type="dxa"/>
            <w:left w:w="108" w:type="dxa"/>
            <w:bottom w:w="0" w:type="dxa"/>
            <w:right w:w="108" w:type="dxa"/>
          </w:tblCellMar>
        </w:tblPrEx>
        <w:trPr>
          <w:cantSplit/>
          <w:trHeight w:val="23" w:hRule="atLeast"/>
          <w:tblHeader/>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二级细分</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三级细分</w:t>
            </w:r>
          </w:p>
        </w:tc>
        <w:tc>
          <w:tcPr>
            <w:tcW w:w="6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2023年申报情况</w:t>
            </w:r>
          </w:p>
        </w:tc>
      </w:tr>
      <w:tr>
        <w:tblPrEx>
          <w:tblCellMar>
            <w:top w:w="0" w:type="dxa"/>
            <w:left w:w="108" w:type="dxa"/>
            <w:bottom w:w="0" w:type="dxa"/>
            <w:right w:w="108" w:type="dxa"/>
          </w:tblCellMar>
        </w:tblPrEx>
        <w:trPr>
          <w:cantSplit/>
          <w:trHeight w:val="23" w:hRule="atLeast"/>
          <w:tblHead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b/>
                <w:bCs/>
                <w:color w:val="000000"/>
                <w:szCs w:val="21"/>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所属镇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b/>
                <w:bCs/>
                <w:color w:val="000000"/>
                <w:kern w:val="0"/>
                <w:szCs w:val="21"/>
                <w:lang w:bidi="ar"/>
              </w:rPr>
              <w:t>序号</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涉及村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宋体" w:eastAsia="仿宋_GB2312" w:cs="仿宋_GB2312"/>
                <w:b/>
                <w:bCs/>
                <w:color w:val="000000"/>
                <w:kern w:val="0"/>
                <w:szCs w:val="21"/>
                <w:lang w:eastAsia="zh-CN" w:bidi="ar"/>
              </w:rPr>
            </w:pPr>
            <w:r>
              <w:rPr>
                <w:rFonts w:hint="eastAsia" w:ascii="仿宋_GB2312" w:hAnsi="宋体" w:eastAsia="仿宋_GB2312" w:cs="仿宋_GB2312"/>
                <w:b/>
                <w:bCs/>
                <w:color w:val="000000"/>
                <w:kern w:val="0"/>
                <w:szCs w:val="21"/>
                <w:lang w:bidi="ar"/>
              </w:rPr>
              <w:t>奖补标准</w:t>
            </w:r>
          </w:p>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单价（元）</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类别</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数量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预算金额</w:t>
            </w:r>
          </w:p>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（万元）</w:t>
            </w:r>
          </w:p>
        </w:tc>
      </w:tr>
      <w:tr>
        <w:tblPrEx>
          <w:tblCellMar>
            <w:top w:w="0" w:type="dxa"/>
            <w:left w:w="108" w:type="dxa"/>
            <w:bottom w:w="0" w:type="dxa"/>
            <w:right w:w="108" w:type="dxa"/>
          </w:tblCellMar>
        </w:tblPrEx>
        <w:trPr>
          <w:cantSplit/>
          <w:trHeight w:val="23"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w:t>
            </w:r>
            <w:r>
              <w:rPr>
                <w:rFonts w:ascii="仿宋_GB2312" w:hAnsi="宋体" w:eastAsia="仿宋_GB2312" w:cs="仿宋_GB2312"/>
                <w:color w:val="000000"/>
                <w:kern w:val="0"/>
                <w:szCs w:val="21"/>
                <w:lang w:bidi="ar"/>
              </w:rPr>
              <w:t>022</w:t>
            </w:r>
            <w:r>
              <w:rPr>
                <w:rFonts w:hint="eastAsia" w:ascii="仿宋_GB2312" w:hAnsi="宋体" w:eastAsia="仿宋_GB2312" w:cs="仿宋_GB2312"/>
                <w:color w:val="000000"/>
                <w:kern w:val="0"/>
                <w:szCs w:val="21"/>
                <w:lang w:bidi="ar"/>
              </w:rPr>
              <w:t>年长效管理奖励资金考核部分</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浦江镇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革新村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乡村振兴示范村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561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20.20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友建村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3.38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新风村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469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16.88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汇西村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565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15.82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苏民村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16.52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东风村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784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21.95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镇北村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339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9.49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汇红村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376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10.53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北徐村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252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5.04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立民村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503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10.06</w:t>
            </w:r>
          </w:p>
        </w:tc>
      </w:tr>
      <w:tr>
        <w:tblPrEx>
          <w:tblCellMar>
            <w:top w:w="0" w:type="dxa"/>
            <w:left w:w="108" w:type="dxa"/>
            <w:bottom w:w="0" w:type="dxa"/>
            <w:right w:w="108" w:type="dxa"/>
          </w:tblCellMar>
        </w:tblPrEx>
        <w:trPr>
          <w:cantSplit/>
          <w:trHeight w:val="90"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跃进村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235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4.70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联民村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641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12.82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联合村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299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杜行村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3.80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恒星村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建中村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勤劳村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474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9.48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群益村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胜利村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1.96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知新村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先进村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265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5.30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11.86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永新村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2.38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建东村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392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7.84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建新村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10.90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光继村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775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15.50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438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8.76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10.64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汇中村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6.24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永丰村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726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14.52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正义村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687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13.74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12399</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288.50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吴泾镇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和平村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新建村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星火村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8.62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塘湾村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648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18.14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共和村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10.82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1787</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48.03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马桥镇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民主村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乡村振兴示范村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414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14.90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同心村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乡村振兴示范村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16.38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旗忠村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387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13.93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友好村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326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9.13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俞塘村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605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16.94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金星村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5.70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彭渡村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464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9.28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2936</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86.26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颛桥镇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北桥村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2.52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梅陇镇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永联村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6.80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许泾村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494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13.83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曹行村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386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10.81</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曙建村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199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3.98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五一村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2.96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民建村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235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4.70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曹中村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317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6.34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行南村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10.22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2479</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59.64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华漕镇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许浦村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7.74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赵家村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601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21.64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王泥浜村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157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5.65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鹫山村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12.66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华漕村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371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7.42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杨家巷村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444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8.88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陈家角村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9.18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卫星村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1.38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纪王村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485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9.70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纪东村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609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12.18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石皮弄村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1.70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诸翟村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244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4.88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4191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103.00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七宝镇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243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4.86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中华村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4.00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443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8.86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合计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24325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596.82</w:t>
            </w:r>
          </w:p>
        </w:tc>
      </w:tr>
      <w:tr>
        <w:tblPrEx>
          <w:tblCellMar>
            <w:top w:w="0" w:type="dxa"/>
            <w:left w:w="108" w:type="dxa"/>
            <w:bottom w:w="0" w:type="dxa"/>
            <w:right w:w="108" w:type="dxa"/>
          </w:tblCellMar>
        </w:tblPrEx>
        <w:trPr>
          <w:cantSplit/>
          <w:trHeight w:val="23"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w:t>
            </w:r>
            <w:r>
              <w:rPr>
                <w:rFonts w:ascii="仿宋_GB2312" w:hAnsi="宋体" w:eastAsia="仿宋_GB2312" w:cs="仿宋_GB2312"/>
                <w:color w:val="000000"/>
                <w:kern w:val="0"/>
                <w:szCs w:val="21"/>
                <w:lang w:bidi="ar"/>
              </w:rPr>
              <w:t>023</w:t>
            </w:r>
            <w:r>
              <w:rPr>
                <w:rFonts w:hint="eastAsia" w:ascii="仿宋_GB2312" w:hAnsi="宋体" w:eastAsia="仿宋_GB2312" w:cs="仿宋_GB2312"/>
                <w:color w:val="000000"/>
                <w:kern w:val="0"/>
                <w:szCs w:val="21"/>
                <w:lang w:bidi="ar"/>
              </w:rPr>
              <w:t>年长效管理奖励资金基础部分</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浦江镇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革新村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乡村振兴示范村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481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25.97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友建村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5.08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新风村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476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25.70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汇西村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6.85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560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23.52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苏民村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24.78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东风村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784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32.93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镇北村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339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14.24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汇红村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376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15.79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北徐村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254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7.62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立民村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492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14.76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跃进村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6.75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联民村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17.82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联合村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299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8.97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杜行村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5.70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恒星村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建中村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勤劳村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474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14.22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19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群益村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1.74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胜利村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2.94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知新村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先进村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263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7.89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582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17.46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永新村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3.30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建东村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382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11.46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建新村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16.32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光继村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578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17.34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29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318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9.54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318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9.54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汇中村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256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7.68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永丰村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717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21.51</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正义村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576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17.28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11514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404.39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吴泾镇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和平村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125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6.75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新建村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165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8.91</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塘湾村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263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11.05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共和村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446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18.73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星火村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475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14.25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1474</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59.69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马桥镇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39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民主村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乡村振兴示范村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414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22.36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同心村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乡村振兴示范村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24.57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旗忠村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387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20.90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友好村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8.57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俞塘村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513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21.55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金星村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281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8.43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彭渡村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365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10.95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2619</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117.32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颛桥镇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北桥村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3.78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梅陇镇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永联村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9.99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许泾村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476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19.99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49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曹行村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233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9.79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曙建村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199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五一村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4.44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民建村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232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6.96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曹中村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3.12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行南村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511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15.33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2088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75.59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华漕镇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许浦村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215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11.61</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赵家村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601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32.45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王泥浜村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540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市级美丽乡村示范村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157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8.48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鹫山村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420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18.98</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59</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华漕村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371</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11.13</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60</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杨家巷村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444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13.32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61</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陈家角村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459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13.77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62</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卫星村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63</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纪王村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485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14.55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64</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纪东村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609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18.27</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65</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石皮弄村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85</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2.55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66</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诸翟村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244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7.32</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4191</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154.51</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七宝镇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67</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联明村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243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7.29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68</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中华村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一般村庄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6.00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443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13.29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浦江镇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苏民村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2021年区级美丽乡村示范村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5.90</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东风村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2021年区级美丽乡村示范村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784</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7.84</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镇北村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2021年区级美丽乡村示范村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339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3.39</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汇红村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2021年区级美丽乡村示范村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376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3.76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马桥镇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szCs w:val="21"/>
              </w:rPr>
            </w:pPr>
            <w:r>
              <w:rPr>
                <w:rFonts w:hint="eastAsia" w:ascii="仿宋_GB2312" w:hAnsi="宋体" w:eastAsia="仿宋_GB2312" w:cs="仿宋_GB2312"/>
                <w:color w:val="000000"/>
                <w:kern w:val="0"/>
                <w:szCs w:val="21"/>
                <w:lang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友好村</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2021年区级美丽乡村示范村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326</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lang w:bidi="ar"/>
              </w:rPr>
              <w:t>3.26</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color w:val="000000"/>
                <w:szCs w:val="21"/>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小计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2415</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24.15</w:t>
            </w:r>
          </w:p>
        </w:tc>
      </w:tr>
      <w:tr>
        <w:tblPrEx>
          <w:tblCellMar>
            <w:top w:w="0" w:type="dxa"/>
            <w:left w:w="108" w:type="dxa"/>
            <w:bottom w:w="0" w:type="dxa"/>
            <w:right w:w="108" w:type="dxa"/>
          </w:tblCellMar>
        </w:tblPrEx>
        <w:trPr>
          <w:cantSplit/>
          <w:trHeight w:val="23"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合计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22419</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852.71</w:t>
            </w:r>
          </w:p>
        </w:tc>
      </w:tr>
      <w:tr>
        <w:tblPrEx>
          <w:tblCellMar>
            <w:top w:w="0" w:type="dxa"/>
            <w:left w:w="108" w:type="dxa"/>
            <w:bottom w:w="0" w:type="dxa"/>
            <w:right w:w="108" w:type="dxa"/>
          </w:tblCellMar>
        </w:tblPrEx>
        <w:trPr>
          <w:cantSplit/>
          <w:trHeight w:val="23" w:hRule="atLeast"/>
        </w:trPr>
        <w:tc>
          <w:tcPr>
            <w:tcW w:w="324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总计</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宋体" w:eastAsia="仿宋_GB2312" w:cs="仿宋_GB2312"/>
                <w:b/>
                <w:bCs/>
                <w:color w:val="000000"/>
                <w:kern w:val="0"/>
                <w:szCs w:val="21"/>
                <w:lang w:bidi="ar"/>
              </w:rPr>
              <w:t>1449.53</w:t>
            </w:r>
          </w:p>
        </w:tc>
      </w:tr>
    </w:tbl>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除浦锦街道涉及的9个村区级奖补资金外，其他68个村的区级奖补资金均列入区农业农村委部门预算，浦锦街道的区级奖补资金列入当年度街道预算。2023年浦锦街道2023年农村人居环境长效管护奖励资金项目预算170.05万元，其中考核部分预算70.02万元，基础部分预算105.03万元，预算编制明细如下。</w:t>
      </w:r>
    </w:p>
    <w:p>
      <w:pPr>
        <w:adjustRightInd w:val="0"/>
        <w:snapToGrid w:val="0"/>
        <w:jc w:val="center"/>
        <w:rPr>
          <w:rFonts w:ascii="黑体" w:hAnsi="黑体" w:eastAsia="黑体" w:cs="黑体"/>
          <w:b/>
          <w:szCs w:val="21"/>
        </w:rPr>
      </w:pPr>
      <w:r>
        <w:rPr>
          <w:rFonts w:hint="eastAsia" w:ascii="黑体" w:hAnsi="黑体" w:eastAsia="黑体" w:cs="黑体"/>
          <w:b/>
          <w:szCs w:val="21"/>
        </w:rPr>
        <w:t>表1-6  浦锦街道2023年农村人居环境长效管护奖励资金项目预算申报明细表</w:t>
      </w:r>
    </w:p>
    <w:tbl>
      <w:tblPr>
        <w:tblStyle w:val="14"/>
        <w:tblpPr w:leftFromText="180" w:rightFromText="180" w:vertAnchor="text" w:horzAnchor="page" w:tblpX="1132" w:tblpY="340"/>
        <w:tblOverlap w:val="never"/>
        <w:tblW w:w="4995" w:type="pct"/>
        <w:tblInd w:w="0" w:type="dxa"/>
        <w:tblLayout w:type="fixed"/>
        <w:tblCellMar>
          <w:top w:w="0" w:type="dxa"/>
          <w:left w:w="108" w:type="dxa"/>
          <w:bottom w:w="0" w:type="dxa"/>
          <w:right w:w="108" w:type="dxa"/>
        </w:tblCellMar>
      </w:tblPr>
      <w:tblGrid>
        <w:gridCol w:w="855"/>
        <w:gridCol w:w="550"/>
        <w:gridCol w:w="1928"/>
        <w:gridCol w:w="1384"/>
        <w:gridCol w:w="2752"/>
        <w:gridCol w:w="891"/>
        <w:gridCol w:w="1483"/>
      </w:tblGrid>
      <w:tr>
        <w:tblPrEx>
          <w:tblCellMar>
            <w:top w:w="0" w:type="dxa"/>
            <w:left w:w="108" w:type="dxa"/>
            <w:bottom w:w="0" w:type="dxa"/>
            <w:right w:w="108" w:type="dxa"/>
          </w:tblCellMar>
        </w:tblPrEx>
        <w:trPr>
          <w:cantSplit/>
          <w:trHeight w:val="23" w:hRule="atLeast"/>
          <w:tblHeader/>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二级细分</w:t>
            </w: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三级细分</w:t>
            </w:r>
          </w:p>
        </w:tc>
        <w:tc>
          <w:tcPr>
            <w:tcW w:w="6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2023年申报情况</w:t>
            </w:r>
          </w:p>
        </w:tc>
      </w:tr>
      <w:tr>
        <w:tblPrEx>
          <w:tblCellMar>
            <w:top w:w="0" w:type="dxa"/>
            <w:left w:w="108" w:type="dxa"/>
            <w:bottom w:w="0" w:type="dxa"/>
            <w:right w:w="108" w:type="dxa"/>
          </w:tblCellMar>
        </w:tblPrEx>
        <w:trPr>
          <w:cantSplit/>
          <w:trHeight w:val="23" w:hRule="atLeast"/>
          <w:tblHeader/>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b/>
                <w:bCs/>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序号</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涉及村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单价（元）</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类别</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数量</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预算金额</w:t>
            </w:r>
          </w:p>
          <w:p>
            <w:pPr>
              <w:widowControl/>
              <w:adjustRightInd w:val="0"/>
              <w:snapToGrid w:val="0"/>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（万元）</w:t>
            </w:r>
          </w:p>
        </w:tc>
      </w:tr>
      <w:tr>
        <w:tblPrEx>
          <w:tblCellMar>
            <w:top w:w="0" w:type="dxa"/>
            <w:left w:w="108" w:type="dxa"/>
            <w:bottom w:w="0" w:type="dxa"/>
            <w:right w:w="108" w:type="dxa"/>
          </w:tblCellMar>
        </w:tblPrEx>
        <w:trPr>
          <w:cantSplit/>
          <w:trHeight w:val="23"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022</w:t>
            </w:r>
            <w:r>
              <w:rPr>
                <w:rFonts w:hint="eastAsia" w:ascii="仿宋_GB2312" w:hAnsi="仿宋_GB2312" w:eastAsia="仿宋_GB2312" w:cs="仿宋_GB2312"/>
                <w:color w:val="000000"/>
                <w:kern w:val="0"/>
                <w:szCs w:val="21"/>
                <w:lang w:bidi="ar"/>
              </w:rPr>
              <w:t>年长效管理奖励资金考核部分</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芦胜村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217</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7.81</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丰收村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6.47</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丁连村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386</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10.81</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近浦村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12.35</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浦江村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8.15</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塘口村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9.58</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跃农村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一般村庄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4.80</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勤俭村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一般村庄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438</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8.76</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郁宋村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一般村庄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65</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1.30</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小计</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2651</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20"/>
                <w:szCs w:val="20"/>
              </w:rPr>
            </w:pPr>
            <w:r>
              <w:rPr>
                <w:rFonts w:hint="eastAsia" w:ascii="仿宋_GB2312" w:hAnsi="宋体" w:eastAsia="仿宋_GB2312" w:cs="仿宋_GB2312"/>
                <w:b/>
                <w:bCs/>
                <w:color w:val="000000"/>
                <w:kern w:val="0"/>
                <w:szCs w:val="21"/>
                <w:lang w:bidi="ar"/>
              </w:rPr>
              <w:t>70.02</w:t>
            </w:r>
          </w:p>
        </w:tc>
      </w:tr>
      <w:tr>
        <w:tblPrEx>
          <w:tblCellMar>
            <w:top w:w="0" w:type="dxa"/>
            <w:left w:w="108" w:type="dxa"/>
            <w:bottom w:w="0" w:type="dxa"/>
            <w:right w:w="108" w:type="dxa"/>
          </w:tblCellMar>
        </w:tblPrEx>
        <w:trPr>
          <w:cantSplit/>
          <w:trHeight w:val="23"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023</w:t>
            </w:r>
            <w:r>
              <w:rPr>
                <w:rFonts w:hint="eastAsia" w:ascii="仿宋_GB2312" w:hAnsi="仿宋_GB2312" w:eastAsia="仿宋_GB2312" w:cs="仿宋_GB2312"/>
                <w:color w:val="000000"/>
                <w:kern w:val="0"/>
                <w:szCs w:val="21"/>
                <w:lang w:bidi="ar"/>
              </w:rPr>
              <w:t>年长效管理奖励资金基础部分</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芦胜村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540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217</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11.72</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丰收村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9.70</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丁连村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386</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16.21</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近浦村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18.52</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浦江村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291</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12.22</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塘口村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区级美丽乡村示范村</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342</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14.36</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跃农村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一般村庄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7.20</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勤俭村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一般村庄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438</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13.14</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郁宋村</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300</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一般村庄</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65</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20"/>
                <w:szCs w:val="20"/>
              </w:rPr>
            </w:pPr>
            <w:r>
              <w:rPr>
                <w:rFonts w:hint="eastAsia" w:ascii="仿宋_GB2312" w:hAnsi="宋体" w:eastAsia="仿宋_GB2312" w:cs="仿宋_GB2312"/>
                <w:color w:val="000000"/>
                <w:kern w:val="0"/>
                <w:szCs w:val="21"/>
                <w:lang w:bidi="ar"/>
              </w:rPr>
              <w:t>1.95</w:t>
            </w:r>
          </w:p>
        </w:tc>
      </w:tr>
      <w:tr>
        <w:tblPrEx>
          <w:tblCellMar>
            <w:top w:w="0" w:type="dxa"/>
            <w:left w:w="108" w:type="dxa"/>
            <w:bottom w:w="0" w:type="dxa"/>
            <w:right w:w="108" w:type="dxa"/>
          </w:tblCellMar>
        </w:tblPrEx>
        <w:trPr>
          <w:cantSplit/>
          <w:trHeight w:val="23"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Cs w:val="21"/>
              </w:rPr>
            </w:pPr>
          </w:p>
        </w:tc>
        <w:tc>
          <w:tcPr>
            <w:tcW w:w="24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小计</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2651</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20"/>
                <w:szCs w:val="20"/>
              </w:rPr>
            </w:pPr>
            <w:r>
              <w:rPr>
                <w:rFonts w:hint="eastAsia" w:ascii="仿宋_GB2312" w:hAnsi="宋体" w:eastAsia="仿宋_GB2312" w:cs="仿宋_GB2312"/>
                <w:b/>
                <w:bCs/>
                <w:color w:val="000000"/>
                <w:kern w:val="0"/>
                <w:szCs w:val="21"/>
                <w:lang w:bidi="ar"/>
              </w:rPr>
              <w:t>105.03</w:t>
            </w:r>
          </w:p>
        </w:tc>
      </w:tr>
      <w:tr>
        <w:tblPrEx>
          <w:tblCellMar>
            <w:top w:w="0" w:type="dxa"/>
            <w:left w:w="108" w:type="dxa"/>
            <w:bottom w:w="0" w:type="dxa"/>
            <w:right w:w="108" w:type="dxa"/>
          </w:tblCellMar>
        </w:tblPrEx>
        <w:trPr>
          <w:cantSplit/>
          <w:trHeight w:val="23" w:hRule="atLeast"/>
        </w:trPr>
        <w:tc>
          <w:tcPr>
            <w:tcW w:w="33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b/>
                <w:bCs/>
                <w:color w:val="000000"/>
                <w:kern w:val="0"/>
                <w:szCs w:val="21"/>
                <w:lang w:bidi="ar"/>
              </w:rPr>
              <w:t>总计</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2651</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kern w:val="0"/>
                <w:sz w:val="20"/>
                <w:szCs w:val="20"/>
                <w:lang w:bidi="ar"/>
              </w:rPr>
            </w:pPr>
            <w:r>
              <w:rPr>
                <w:rFonts w:hint="eastAsia" w:ascii="仿宋_GB2312" w:hAnsi="宋体" w:eastAsia="仿宋_GB2312" w:cs="仿宋_GB2312"/>
                <w:b/>
                <w:bCs/>
                <w:color w:val="000000"/>
                <w:kern w:val="0"/>
                <w:szCs w:val="21"/>
                <w:lang w:bidi="ar"/>
              </w:rPr>
              <w:t>175.05</w:t>
            </w:r>
          </w:p>
        </w:tc>
      </w:tr>
    </w:tbl>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2.近三年预算及执行情况</w:t>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2020年至2022年闵行区农村人居环境长效管护奖励项目预算安排及实际执行情况如下表所示：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adjustRightInd w:val="0"/>
        <w:snapToGrid w:val="0"/>
        <w:jc w:val="center"/>
        <w:rPr>
          <w:rFonts w:ascii="黑体" w:hAnsi="黑体" w:eastAsia="黑体" w:cs="黑体"/>
          <w:b/>
          <w:szCs w:val="21"/>
        </w:rPr>
      </w:pPr>
      <w:r>
        <w:rPr>
          <w:rFonts w:hint="eastAsia" w:ascii="黑体" w:hAnsi="黑体" w:eastAsia="黑体" w:cs="黑体"/>
          <w:b/>
          <w:szCs w:val="21"/>
        </w:rPr>
        <w:t>表1-7  2020年-2022年</w:t>
      </w:r>
      <w:r>
        <w:rPr>
          <w:rFonts w:hint="eastAsia" w:ascii="黑体" w:hAnsi="黑体" w:eastAsia="黑体" w:cs="黑体"/>
          <w:b/>
          <w:szCs w:val="21"/>
          <w:vertAlign w:val="superscript"/>
        </w:rPr>
        <w:footnoteReference w:id="3"/>
      </w:r>
      <w:r>
        <w:rPr>
          <w:rFonts w:hint="eastAsia" w:ascii="黑体" w:hAnsi="黑体" w:eastAsia="黑体" w:cs="黑体"/>
          <w:b/>
          <w:szCs w:val="21"/>
        </w:rPr>
        <w:t>闵行区农村人居环境长效管护奖励项目预算安排及执行情况明细表</w:t>
      </w:r>
    </w:p>
    <w:p>
      <w:pPr>
        <w:adjustRightInd w:val="0"/>
        <w:snapToGrid w:val="0"/>
        <w:jc w:val="center"/>
        <w:rPr>
          <w:rFonts w:ascii="黑体" w:hAnsi="黑体" w:eastAsia="黑体" w:cs="黑体"/>
          <w:b/>
          <w:szCs w:val="21"/>
        </w:rPr>
      </w:pPr>
      <w:r>
        <w:rPr>
          <w:rFonts w:hint="eastAsia" w:ascii="黑体" w:hAnsi="黑体" w:eastAsia="黑体" w:cs="黑体"/>
          <w:b/>
          <w:szCs w:val="21"/>
        </w:rPr>
        <w:t>（区对镇财力结算项目）</w:t>
      </w:r>
    </w:p>
    <w:p>
      <w:pPr>
        <w:adjustRightInd w:val="0"/>
        <w:snapToGrid w:val="0"/>
        <w:ind w:firstLine="561"/>
        <w:jc w:val="right"/>
        <w:rPr>
          <w:rFonts w:ascii="仿宋_GB2312" w:hAnsi="仿宋_GB2312" w:eastAsia="仿宋_GB2312" w:cs="仿宋_GB2312"/>
          <w:sz w:val="28"/>
          <w:szCs w:val="28"/>
        </w:rPr>
      </w:pPr>
      <w:r>
        <w:rPr>
          <w:rFonts w:hint="eastAsia" w:ascii="黑体" w:hAnsi="黑体" w:eastAsia="黑体" w:cs="黑体"/>
          <w:b/>
          <w:szCs w:val="21"/>
        </w:rPr>
        <w:t>单位：万元</w:t>
      </w:r>
    </w:p>
    <w:tbl>
      <w:tblPr>
        <w:tblStyle w:val="14"/>
        <w:tblW w:w="4998" w:type="pct"/>
        <w:tblInd w:w="0" w:type="dxa"/>
        <w:tblLayout w:type="autofit"/>
        <w:tblCellMar>
          <w:top w:w="0" w:type="dxa"/>
          <w:left w:w="108" w:type="dxa"/>
          <w:bottom w:w="0" w:type="dxa"/>
          <w:right w:w="108" w:type="dxa"/>
        </w:tblCellMar>
      </w:tblPr>
      <w:tblGrid>
        <w:gridCol w:w="1319"/>
        <w:gridCol w:w="1319"/>
        <w:gridCol w:w="1319"/>
        <w:gridCol w:w="2018"/>
        <w:gridCol w:w="2019"/>
        <w:gridCol w:w="1855"/>
      </w:tblGrid>
      <w:tr>
        <w:tblPrEx>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项目名称</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项目构成</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预算年份</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预算金额</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执行金额</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预算执行率</w:t>
            </w:r>
          </w:p>
        </w:tc>
      </w:tr>
      <w:tr>
        <w:tblPrEx>
          <w:tblCellMar>
            <w:top w:w="0" w:type="dxa"/>
            <w:left w:w="108" w:type="dxa"/>
            <w:bottom w:w="0" w:type="dxa"/>
            <w:right w:w="108" w:type="dxa"/>
          </w:tblCellMar>
        </w:tblPrEx>
        <w:trPr>
          <w:trHeight w:val="23" w:hRule="atLeast"/>
        </w:trPr>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美丽乡村长效管理奖励资金</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考核部分</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293.13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291.79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99.54%</w:t>
            </w:r>
          </w:p>
        </w:tc>
      </w:tr>
      <w:tr>
        <w:tblPrEx>
          <w:tblCellMar>
            <w:top w:w="0" w:type="dxa"/>
            <w:left w:w="108" w:type="dxa"/>
            <w:bottom w:w="0" w:type="dxa"/>
            <w:right w:w="108" w:type="dxa"/>
          </w:tblCellMar>
        </w:tblPrEx>
        <w:trPr>
          <w:trHeight w:val="23" w:hRule="atLeast"/>
        </w:trPr>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基础部分</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530.01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527.85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99.59%</w:t>
            </w:r>
          </w:p>
        </w:tc>
      </w:tr>
      <w:tr>
        <w:tblPrEx>
          <w:tblCellMar>
            <w:top w:w="0" w:type="dxa"/>
            <w:left w:w="108" w:type="dxa"/>
            <w:bottom w:w="0" w:type="dxa"/>
            <w:right w:w="108" w:type="dxa"/>
          </w:tblCellMar>
        </w:tblPrEx>
        <w:trPr>
          <w:trHeight w:val="23" w:hRule="atLeast"/>
        </w:trPr>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合计</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823.14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i w:val="0"/>
                <w:iCs w:val="0"/>
                <w:color w:val="000000"/>
                <w:kern w:val="0"/>
                <w:sz w:val="22"/>
                <w:szCs w:val="22"/>
                <w:u w:val="none"/>
                <w:lang w:val="en-US" w:eastAsia="zh-CN" w:bidi="ar"/>
              </w:rPr>
              <w:t xml:space="preserve">819.63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i w:val="0"/>
                <w:iCs w:val="0"/>
                <w:color w:val="000000"/>
                <w:kern w:val="0"/>
                <w:sz w:val="22"/>
                <w:szCs w:val="22"/>
                <w:u w:val="none"/>
                <w:lang w:val="en-US" w:eastAsia="zh-CN" w:bidi="ar"/>
              </w:rPr>
              <w:t>99.57%</w:t>
            </w:r>
          </w:p>
        </w:tc>
      </w:tr>
      <w:tr>
        <w:tblPrEx>
          <w:tblCellMar>
            <w:top w:w="0" w:type="dxa"/>
            <w:left w:w="108" w:type="dxa"/>
            <w:bottom w:w="0" w:type="dxa"/>
            <w:right w:w="108" w:type="dxa"/>
          </w:tblCellMar>
        </w:tblPrEx>
        <w:trPr>
          <w:trHeight w:val="23" w:hRule="atLeast"/>
        </w:trPr>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美丽乡村长效管理奖励资金</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考核部分</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333.73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332.34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99.58%</w:t>
            </w:r>
          </w:p>
        </w:tc>
      </w:tr>
      <w:tr>
        <w:tblPrEx>
          <w:tblCellMar>
            <w:top w:w="0" w:type="dxa"/>
            <w:left w:w="108" w:type="dxa"/>
            <w:bottom w:w="0" w:type="dxa"/>
            <w:right w:w="108" w:type="dxa"/>
          </w:tblCellMar>
        </w:tblPrEx>
        <w:trPr>
          <w:trHeight w:val="23" w:hRule="atLeast"/>
        </w:trPr>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基础部分</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597.66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592.71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99.17%</w:t>
            </w:r>
          </w:p>
        </w:tc>
      </w:tr>
      <w:tr>
        <w:tblPrEx>
          <w:tblCellMar>
            <w:top w:w="0" w:type="dxa"/>
            <w:left w:w="108" w:type="dxa"/>
            <w:bottom w:w="0" w:type="dxa"/>
            <w:right w:w="108" w:type="dxa"/>
          </w:tblCellMar>
        </w:tblPrEx>
        <w:trPr>
          <w:trHeight w:val="23" w:hRule="atLeast"/>
        </w:trPr>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合计</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931.39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925.05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99.32%</w:t>
            </w:r>
          </w:p>
        </w:tc>
      </w:tr>
      <w:tr>
        <w:tblPrEx>
          <w:tblCellMar>
            <w:top w:w="0" w:type="dxa"/>
            <w:left w:w="108" w:type="dxa"/>
            <w:bottom w:w="0" w:type="dxa"/>
            <w:right w:w="108" w:type="dxa"/>
          </w:tblCellMar>
        </w:tblPrEx>
        <w:trPr>
          <w:trHeight w:val="23" w:hRule="atLeast"/>
        </w:trPr>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农村人居环境长效管护奖励资金</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考核部分</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2022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379.82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0.00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0.00%</w:t>
            </w:r>
          </w:p>
        </w:tc>
      </w:tr>
      <w:tr>
        <w:tblPrEx>
          <w:tblCellMar>
            <w:top w:w="0" w:type="dxa"/>
            <w:left w:w="108" w:type="dxa"/>
            <w:bottom w:w="0" w:type="dxa"/>
            <w:right w:w="108" w:type="dxa"/>
          </w:tblCellMar>
        </w:tblPrEx>
        <w:trPr>
          <w:trHeight w:val="23" w:hRule="atLeast"/>
        </w:trPr>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基础部分</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870.61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0.00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0.00%</w:t>
            </w:r>
          </w:p>
        </w:tc>
      </w:tr>
      <w:tr>
        <w:tblPrEx>
          <w:tblCellMar>
            <w:top w:w="0" w:type="dxa"/>
            <w:left w:w="108" w:type="dxa"/>
            <w:bottom w:w="0" w:type="dxa"/>
            <w:right w:w="108" w:type="dxa"/>
          </w:tblCellMar>
        </w:tblPrEx>
        <w:trPr>
          <w:trHeight w:val="23" w:hRule="atLeast"/>
        </w:trPr>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合计</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1250.43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 xml:space="preserve">0.00 </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0.00%</w:t>
            </w:r>
          </w:p>
        </w:tc>
      </w:tr>
    </w:tbl>
    <w:p>
      <w:pPr>
        <w:adjustRightInd w:val="0"/>
        <w:snapToGrid w:val="0"/>
        <w:ind w:firstLine="561"/>
        <w:rPr>
          <w:rFonts w:ascii="仿宋_GB2312" w:hAnsi="仿宋_GB2312" w:eastAsia="仿宋_GB2312" w:cs="仿宋_GB2312"/>
          <w:b/>
          <w:bCs/>
          <w:sz w:val="24"/>
        </w:rPr>
      </w:pPr>
      <w:r>
        <w:rPr>
          <w:rFonts w:hint="eastAsia" w:ascii="仿宋_GB2312" w:hAnsi="仿宋_GB2312" w:eastAsia="仿宋_GB2312" w:cs="仿宋_GB2312"/>
          <w:b/>
          <w:bCs/>
          <w:sz w:val="24"/>
        </w:rPr>
        <w:t>说明：2020年颛桥镇北桥村未执行奖励资金，结余资金3.50万元。</w:t>
      </w:r>
    </w:p>
    <w:p>
      <w:pPr>
        <w:adjustRightInd w:val="0"/>
        <w:snapToGrid w:val="0"/>
        <w:ind w:firstLine="561"/>
        <w:rPr>
          <w:rFonts w:ascii="仿宋_GB2312" w:hAnsi="仿宋_GB2312" w:eastAsia="仿宋_GB2312" w:cs="仿宋_GB2312"/>
          <w:b/>
          <w:bCs/>
          <w:sz w:val="24"/>
        </w:rPr>
      </w:pPr>
      <w:r>
        <w:rPr>
          <w:rFonts w:hint="eastAsia" w:ascii="仿宋_GB2312" w:hAnsi="仿宋_GB2312" w:eastAsia="仿宋_GB2312" w:cs="仿宋_GB2312"/>
          <w:b/>
          <w:bCs/>
          <w:sz w:val="24"/>
        </w:rPr>
        <w:t>2021年颛桥镇北桥村未执行奖励资金，结余资金3.55万元；梅陇镇许泾村、曹行村由于动迁，导致宅基户数减少，实际执行进行相应减少，结余资金2.78万元，合计结余6.34万元。</w:t>
      </w:r>
    </w:p>
    <w:p>
      <w:pPr>
        <w:adjustRightInd w:val="0"/>
        <w:snapToGrid w:val="0"/>
        <w:ind w:firstLine="561"/>
        <w:rPr>
          <w:rFonts w:ascii="仿宋_GB2312" w:hAnsi="仿宋_GB2312" w:eastAsia="仿宋_GB2312" w:cs="仿宋_GB2312"/>
          <w:b/>
          <w:bCs/>
          <w:sz w:val="24"/>
        </w:rPr>
      </w:pPr>
      <w:r>
        <w:rPr>
          <w:rFonts w:hint="eastAsia" w:ascii="仿宋_GB2312" w:hAnsi="仿宋_GB2312" w:eastAsia="仿宋_GB2312" w:cs="仿宋_GB2312"/>
          <w:b/>
          <w:bCs/>
          <w:sz w:val="24"/>
        </w:rPr>
        <w:t>2022年奖补资金于9月底下拨，目前还未使用。</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2020年至2022年浦锦街道农村人居环境长效管护奖励项目预算安排及实际执行情况如下表所示：</w:t>
      </w:r>
    </w:p>
    <w:p>
      <w:pPr>
        <w:adjustRightInd w:val="0"/>
        <w:snapToGrid w:val="0"/>
        <w:jc w:val="center"/>
        <w:rPr>
          <w:rFonts w:ascii="黑体" w:hAnsi="黑体" w:eastAsia="黑体" w:cs="黑体"/>
          <w:b/>
          <w:szCs w:val="21"/>
        </w:rPr>
      </w:pPr>
      <w:r>
        <w:rPr>
          <w:rFonts w:hint="eastAsia" w:ascii="黑体" w:hAnsi="黑体" w:eastAsia="黑体" w:cs="黑体"/>
          <w:b/>
          <w:szCs w:val="21"/>
        </w:rPr>
        <w:t>表1-8  2020年-2022年</w:t>
      </w:r>
      <w:r>
        <w:rPr>
          <w:rFonts w:hint="eastAsia" w:ascii="黑体" w:hAnsi="黑体" w:eastAsia="黑体" w:cs="黑体"/>
          <w:b/>
          <w:szCs w:val="21"/>
          <w:vertAlign w:val="superscript"/>
        </w:rPr>
        <w:footnoteReference w:id="4"/>
      </w:r>
      <w:r>
        <w:rPr>
          <w:rFonts w:hint="eastAsia" w:ascii="黑体" w:hAnsi="黑体" w:eastAsia="黑体" w:cs="黑体"/>
          <w:b/>
          <w:szCs w:val="21"/>
        </w:rPr>
        <w:t>闵行区农村人居环境长效管护奖励项目预算安排及执行情况明细表</w:t>
      </w:r>
    </w:p>
    <w:p>
      <w:pPr>
        <w:adjustRightInd w:val="0"/>
        <w:snapToGrid w:val="0"/>
        <w:jc w:val="center"/>
        <w:rPr>
          <w:rFonts w:ascii="黑体" w:hAnsi="黑体" w:eastAsia="黑体" w:cs="黑体"/>
          <w:b/>
          <w:szCs w:val="21"/>
        </w:rPr>
      </w:pPr>
      <w:r>
        <w:rPr>
          <w:rFonts w:hint="eastAsia" w:ascii="黑体" w:hAnsi="黑体" w:eastAsia="黑体" w:cs="黑体"/>
          <w:b/>
          <w:szCs w:val="21"/>
        </w:rPr>
        <w:t>（浦锦街道）</w:t>
      </w:r>
    </w:p>
    <w:p>
      <w:pPr>
        <w:adjustRightInd w:val="0"/>
        <w:snapToGrid w:val="0"/>
        <w:ind w:firstLine="561"/>
        <w:jc w:val="right"/>
        <w:rPr>
          <w:rFonts w:ascii="仿宋_GB2312" w:hAnsi="仿宋_GB2312" w:eastAsia="仿宋_GB2312" w:cs="仿宋_GB2312"/>
          <w:sz w:val="28"/>
          <w:szCs w:val="28"/>
        </w:rPr>
      </w:pPr>
      <w:r>
        <w:rPr>
          <w:rFonts w:hint="eastAsia" w:ascii="黑体" w:hAnsi="黑体" w:eastAsia="黑体" w:cs="黑体"/>
          <w:b/>
          <w:szCs w:val="21"/>
        </w:rPr>
        <w:t>单位：万元</w:t>
      </w:r>
    </w:p>
    <w:tbl>
      <w:tblPr>
        <w:tblStyle w:val="14"/>
        <w:tblW w:w="4998" w:type="pct"/>
        <w:tblInd w:w="0" w:type="dxa"/>
        <w:tblLayout w:type="autofit"/>
        <w:tblCellMar>
          <w:top w:w="0" w:type="dxa"/>
          <w:left w:w="108" w:type="dxa"/>
          <w:bottom w:w="0" w:type="dxa"/>
          <w:right w:w="108" w:type="dxa"/>
        </w:tblCellMar>
      </w:tblPr>
      <w:tblGrid>
        <w:gridCol w:w="1301"/>
        <w:gridCol w:w="1340"/>
        <w:gridCol w:w="1320"/>
        <w:gridCol w:w="2018"/>
        <w:gridCol w:w="2018"/>
        <w:gridCol w:w="1852"/>
      </w:tblGrid>
      <w:tr>
        <w:tblPrEx>
          <w:tblCellMar>
            <w:top w:w="0" w:type="dxa"/>
            <w:left w:w="108" w:type="dxa"/>
            <w:bottom w:w="0" w:type="dxa"/>
            <w:right w:w="108" w:type="dxa"/>
          </w:tblCellMar>
        </w:tblPrEx>
        <w:trPr>
          <w:trHeight w:val="23" w:hRule="atLeast"/>
        </w:trPr>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项目名称</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项目构成</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预算年份</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预算金额</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执行金额</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b/>
                <w:bCs/>
                <w:color w:val="000000"/>
                <w:szCs w:val="21"/>
              </w:rPr>
            </w:pPr>
            <w:r>
              <w:rPr>
                <w:rFonts w:hint="eastAsia" w:ascii="仿宋_GB2312" w:hAnsi="宋体" w:eastAsia="仿宋_GB2312" w:cs="仿宋_GB2312"/>
                <w:b/>
                <w:bCs/>
                <w:color w:val="000000"/>
                <w:kern w:val="0"/>
                <w:szCs w:val="21"/>
                <w:lang w:bidi="ar"/>
              </w:rPr>
              <w:t>预算执行率</w:t>
            </w:r>
          </w:p>
        </w:tc>
      </w:tr>
      <w:tr>
        <w:tblPrEx>
          <w:tblCellMar>
            <w:top w:w="0" w:type="dxa"/>
            <w:left w:w="108" w:type="dxa"/>
            <w:bottom w:w="0" w:type="dxa"/>
            <w:right w:w="108" w:type="dxa"/>
          </w:tblCellMar>
        </w:tblPrEx>
        <w:trPr>
          <w:trHeight w:val="23" w:hRule="atLeast"/>
        </w:trPr>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美丽乡村长效管理奖励资金</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考核部分</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65.61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65.61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100.00%</w:t>
            </w:r>
          </w:p>
        </w:tc>
      </w:tr>
      <w:tr>
        <w:tblPrEx>
          <w:tblCellMar>
            <w:top w:w="0" w:type="dxa"/>
            <w:left w:w="108" w:type="dxa"/>
            <w:bottom w:w="0" w:type="dxa"/>
            <w:right w:w="108" w:type="dxa"/>
          </w:tblCellMar>
        </w:tblPrEx>
        <w:trPr>
          <w:trHeight w:val="23"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基础部分</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宋体" w:eastAsia="仿宋_GB2312" w:cs="仿宋_GB2312"/>
                <w:color w:val="000000"/>
                <w:szCs w:val="21"/>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103.36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103.36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100.00%</w:t>
            </w:r>
          </w:p>
        </w:tc>
      </w:tr>
      <w:tr>
        <w:tblPrEx>
          <w:tblCellMar>
            <w:top w:w="0" w:type="dxa"/>
            <w:left w:w="108" w:type="dxa"/>
            <w:bottom w:w="0" w:type="dxa"/>
            <w:right w:w="108" w:type="dxa"/>
          </w:tblCellMar>
        </w:tblPrEx>
        <w:trPr>
          <w:trHeight w:val="23"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宋体" w:eastAsia="仿宋_GB2312" w:cs="仿宋_GB2312"/>
                <w:color w:val="000000"/>
                <w:szCs w:val="21"/>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168.98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168.98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100.00%</w:t>
            </w:r>
          </w:p>
        </w:tc>
      </w:tr>
      <w:tr>
        <w:tblPrEx>
          <w:tblCellMar>
            <w:top w:w="0" w:type="dxa"/>
            <w:left w:w="108" w:type="dxa"/>
            <w:bottom w:w="0" w:type="dxa"/>
            <w:right w:w="108" w:type="dxa"/>
          </w:tblCellMar>
        </w:tblPrEx>
        <w:trPr>
          <w:trHeight w:val="23" w:hRule="atLeast"/>
        </w:trPr>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美丽乡村长效管理奖励资金</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考核部分</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63.56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63.56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100.00%</w:t>
            </w:r>
          </w:p>
        </w:tc>
      </w:tr>
      <w:tr>
        <w:tblPrEx>
          <w:tblCellMar>
            <w:top w:w="0" w:type="dxa"/>
            <w:left w:w="108" w:type="dxa"/>
            <w:bottom w:w="0" w:type="dxa"/>
            <w:right w:w="108" w:type="dxa"/>
          </w:tblCellMar>
        </w:tblPrEx>
        <w:trPr>
          <w:trHeight w:val="23"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基础部分</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宋体" w:eastAsia="仿宋_GB2312" w:cs="仿宋_GB2312"/>
                <w:color w:val="000000"/>
                <w:szCs w:val="21"/>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103.36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103.36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100.00%</w:t>
            </w:r>
          </w:p>
        </w:tc>
      </w:tr>
      <w:tr>
        <w:tblPrEx>
          <w:tblCellMar>
            <w:top w:w="0" w:type="dxa"/>
            <w:left w:w="108" w:type="dxa"/>
            <w:bottom w:w="0" w:type="dxa"/>
            <w:right w:w="108" w:type="dxa"/>
          </w:tblCellMar>
        </w:tblPrEx>
        <w:trPr>
          <w:trHeight w:val="23"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宋体" w:eastAsia="仿宋_GB2312" w:cs="仿宋_GB2312"/>
                <w:color w:val="000000"/>
                <w:szCs w:val="21"/>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166.92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166.92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100.00%</w:t>
            </w:r>
          </w:p>
        </w:tc>
      </w:tr>
      <w:tr>
        <w:tblPrEx>
          <w:tblCellMar>
            <w:top w:w="0" w:type="dxa"/>
            <w:left w:w="108" w:type="dxa"/>
            <w:bottom w:w="0" w:type="dxa"/>
            <w:right w:w="108" w:type="dxa"/>
          </w:tblCellMar>
        </w:tblPrEx>
        <w:trPr>
          <w:trHeight w:val="23" w:hRule="atLeast"/>
        </w:trPr>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农村人居环境长效管护奖励资金</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考核部分</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2022</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82.69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0.00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0.00%</w:t>
            </w:r>
          </w:p>
        </w:tc>
      </w:tr>
      <w:tr>
        <w:tblPrEx>
          <w:tblCellMar>
            <w:top w:w="0" w:type="dxa"/>
            <w:left w:w="108" w:type="dxa"/>
            <w:bottom w:w="0" w:type="dxa"/>
            <w:right w:w="108" w:type="dxa"/>
          </w:tblCellMar>
        </w:tblPrEx>
        <w:trPr>
          <w:trHeight w:val="23"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基础部分</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宋体" w:eastAsia="仿宋_GB2312" w:cs="仿宋_GB2312"/>
                <w:color w:val="000000"/>
                <w:szCs w:val="21"/>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134.50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0.00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0.00%</w:t>
            </w:r>
          </w:p>
        </w:tc>
      </w:tr>
      <w:tr>
        <w:tblPrEx>
          <w:tblCellMar>
            <w:top w:w="0" w:type="dxa"/>
            <w:left w:w="108" w:type="dxa"/>
            <w:bottom w:w="0" w:type="dxa"/>
            <w:right w:w="108" w:type="dxa"/>
          </w:tblCellMar>
        </w:tblPrEx>
        <w:trPr>
          <w:trHeight w:val="23"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宋体" w:eastAsia="仿宋_GB2312" w:cs="仿宋_GB2312"/>
                <w:color w:val="000000"/>
                <w:szCs w:val="21"/>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合计</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宋体" w:eastAsia="仿宋_GB2312" w:cs="仿宋_GB2312"/>
                <w:color w:val="000000"/>
                <w:szCs w:val="21"/>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217.19 </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 xml:space="preserve">0.00 </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val="en-US" w:eastAsia="zh-CN" w:bidi="ar"/>
              </w:rPr>
              <w:t>0.00%</w:t>
            </w:r>
          </w:p>
        </w:tc>
      </w:tr>
    </w:tbl>
    <w:p>
      <w:pPr>
        <w:adjustRightInd w:val="0"/>
        <w:snapToGrid w:val="0"/>
        <w:spacing w:line="600" w:lineRule="exact"/>
        <w:ind w:firstLine="562" w:firstLineChars="200"/>
        <w:outlineLvl w:val="1"/>
        <w:rPr>
          <w:rFonts w:ascii="仿宋_GB2312" w:hAnsi="仿宋" w:eastAsia="仿宋_GB2312"/>
          <w:b/>
          <w:sz w:val="28"/>
          <w:szCs w:val="28"/>
        </w:rPr>
      </w:pPr>
      <w:bookmarkStart w:id="24" w:name="_Toc14051"/>
      <w:bookmarkStart w:id="25" w:name="_Toc1907"/>
      <w:r>
        <w:rPr>
          <w:rFonts w:hint="eastAsia" w:ascii="仿宋_GB2312" w:hAnsi="仿宋" w:eastAsia="仿宋_GB2312"/>
          <w:b/>
          <w:sz w:val="28"/>
          <w:szCs w:val="28"/>
        </w:rPr>
        <w:t>（四）</w:t>
      </w:r>
      <w:bookmarkStart w:id="26" w:name="（四）2013年绩效目标"/>
      <w:r>
        <w:rPr>
          <w:rFonts w:hint="eastAsia" w:ascii="仿宋_GB2312" w:hAnsi="仿宋" w:eastAsia="仿宋_GB2312"/>
          <w:b/>
          <w:sz w:val="28"/>
          <w:szCs w:val="28"/>
          <w:lang w:val="en-US" w:eastAsia="zh-CN"/>
        </w:rPr>
        <w:t>2023年</w:t>
      </w:r>
      <w:r>
        <w:rPr>
          <w:rFonts w:hint="eastAsia" w:ascii="仿宋_GB2312" w:hAnsi="仿宋" w:eastAsia="仿宋_GB2312"/>
          <w:b/>
          <w:sz w:val="28"/>
          <w:szCs w:val="28"/>
        </w:rPr>
        <w:t>绩效目标</w:t>
      </w:r>
      <w:bookmarkEnd w:id="24"/>
      <w:bookmarkEnd w:id="25"/>
      <w:bookmarkEnd w:id="26"/>
    </w:p>
    <w:p>
      <w:pPr>
        <w:adjustRightInd w:val="0"/>
        <w:snapToGrid w:val="0"/>
        <w:spacing w:line="600" w:lineRule="exact"/>
        <w:ind w:firstLine="561"/>
        <w:rPr>
          <w:rFonts w:ascii="仿宋_GB2312" w:hAnsi="仿宋_GB2312" w:eastAsia="仿宋_GB2312" w:cs="仿宋_GB2312"/>
          <w:sz w:val="30"/>
          <w:szCs w:val="30"/>
        </w:rPr>
      </w:pPr>
      <w:r>
        <w:rPr>
          <w:rFonts w:hint="eastAsia" w:ascii="仿宋_GB2312" w:hAnsi="仿宋_GB2312" w:eastAsia="仿宋_GB2312" w:cs="仿宋_GB2312"/>
          <w:sz w:val="30"/>
          <w:szCs w:val="30"/>
        </w:rPr>
        <w:t>按照区财政要求和专家组意见，对预算单位申报的目标进行了修改，具体绩效目标如下，原绩效目标已作为附件2：</w:t>
      </w:r>
    </w:p>
    <w:p>
      <w:pPr>
        <w:adjustRightInd w:val="0"/>
        <w:snapToGrid w:val="0"/>
        <w:spacing w:line="600" w:lineRule="exact"/>
        <w:ind w:firstLine="56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1.总体目标</w:t>
      </w:r>
    </w:p>
    <w:p>
      <w:pPr>
        <w:adjustRightInd w:val="0"/>
        <w:snapToGrid w:val="0"/>
        <w:spacing w:line="600" w:lineRule="exact"/>
        <w:ind w:firstLine="561"/>
        <w:rPr>
          <w:rFonts w:ascii="仿宋_GB2312" w:hAnsi="仿宋" w:eastAsia="仿宋_GB2312"/>
          <w:bCs/>
          <w:sz w:val="30"/>
          <w:szCs w:val="30"/>
        </w:rPr>
      </w:pPr>
      <w:r>
        <w:rPr>
          <w:rFonts w:hint="eastAsia" w:ascii="仿宋_GB2312" w:hAnsi="仿宋" w:eastAsia="仿宋_GB2312"/>
          <w:bCs/>
          <w:sz w:val="30"/>
          <w:szCs w:val="30"/>
        </w:rPr>
        <w:t>深入贯彻落实习近平总书记关于改善农村人居环境的重要指示精神，以习近平新时代中国特色社会主义思想为指导，按照闵行区建设现代化新城区的定位，在农村人居环境整治取得初步成效的基础上，坚持“建管并重、长效运行”基本原则，建立常态化、制度化、规范化的村庄长效管理机制，把精细化管理的理念、手段和要求贯彻落实到长效管理的各项工作中，强化长效管护财政资金保障，有效维护农村基础设施和公共服务设施，有效巩固农村人居环境整治成效，有效提升基层社会治理水平。</w:t>
      </w:r>
    </w:p>
    <w:p>
      <w:pPr>
        <w:adjustRightInd w:val="0"/>
        <w:snapToGrid w:val="0"/>
        <w:spacing w:line="600" w:lineRule="exact"/>
        <w:ind w:firstLine="56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2.年度目标</w:t>
      </w:r>
    </w:p>
    <w:p>
      <w:pPr>
        <w:adjustRightInd w:val="0"/>
        <w:snapToGrid w:val="0"/>
        <w:spacing w:line="600" w:lineRule="exact"/>
        <w:ind w:firstLine="561"/>
        <w:rPr>
          <w:rFonts w:ascii="仿宋_GB2312" w:hAnsi="仿宋_GB2312" w:eastAsia="仿宋_GB2312" w:cs="仿宋_GB2312"/>
          <w:sz w:val="30"/>
          <w:szCs w:val="30"/>
        </w:rPr>
      </w:pPr>
      <w:r>
        <w:rPr>
          <w:rFonts w:hint="eastAsia" w:ascii="仿宋_GB2312" w:hAnsi="仿宋_GB2312" w:eastAsia="仿宋_GB2312" w:cs="仿宋_GB2312"/>
          <w:sz w:val="30"/>
          <w:szCs w:val="30"/>
        </w:rPr>
        <w:t>根据计划完成对7个镇65个农村人居环境长效管护奖励发放，确保奖励资金应补尽补，无漏发、错发，全区长效管护覆盖率达到100%，各村均建设有长效管护机制。通过项目实施和奖励政策引导，有效改善农村人居环境的同时，区级美丽乡村示范村数量有所提高，市级美丽乡村示范村、乡村振兴示范村数量提升，辖区内村民满意度不低于85%，各层级管理人员满意度不低于90%。</w:t>
      </w:r>
    </w:p>
    <w:p>
      <w:pPr>
        <w:adjustRightInd w:val="0"/>
        <w:snapToGrid w:val="0"/>
        <w:spacing w:line="600" w:lineRule="exact"/>
        <w:ind w:firstLine="56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3.分解目标</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2023年项目分解目标见表1-9：</w:t>
      </w:r>
    </w:p>
    <w:p>
      <w:pPr>
        <w:adjustRightInd w:val="0"/>
        <w:snapToGrid w:val="0"/>
        <w:jc w:val="center"/>
        <w:rPr>
          <w:rFonts w:ascii="黑体" w:hAnsi="黑体" w:eastAsia="黑体" w:cs="黑体"/>
          <w:b/>
          <w:szCs w:val="21"/>
        </w:rPr>
      </w:pPr>
      <w:r>
        <w:rPr>
          <w:rFonts w:hint="eastAsia" w:ascii="黑体" w:hAnsi="黑体" w:eastAsia="黑体" w:cs="黑体"/>
          <w:b/>
          <w:szCs w:val="21"/>
        </w:rPr>
        <w:t>表1-9  闵行区2023年农村人居环境长效管护奖励资金项目绩效目标表</w:t>
      </w:r>
    </w:p>
    <w:tbl>
      <w:tblPr>
        <w:tblStyle w:val="14"/>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3627"/>
        <w:gridCol w:w="285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1237" w:type="dxa"/>
            <w:shd w:val="clear" w:color="auto" w:fill="auto"/>
            <w:vAlign w:val="center"/>
          </w:tcPr>
          <w:p>
            <w:pPr>
              <w:adjustRightInd w:val="0"/>
              <w:snapToGrid w:val="0"/>
              <w:jc w:val="center"/>
              <w:rPr>
                <w:rFonts w:ascii="仿宋_GB2312" w:hAnsi="仿宋_GB2312" w:eastAsia="仿宋_GB2312" w:cs="仿宋_GB2312"/>
                <w:b/>
                <w:sz w:val="24"/>
              </w:rPr>
            </w:pPr>
            <w:bookmarkStart w:id="27" w:name="_Hlk20848789"/>
            <w:r>
              <w:rPr>
                <w:rFonts w:hint="eastAsia" w:ascii="仿宋_GB2312" w:hAnsi="仿宋_GB2312" w:eastAsia="仿宋_GB2312" w:cs="仿宋_GB2312"/>
                <w:b/>
                <w:sz w:val="24"/>
              </w:rPr>
              <w:t>目标类型</w:t>
            </w:r>
          </w:p>
        </w:tc>
        <w:tc>
          <w:tcPr>
            <w:tcW w:w="3627" w:type="dxa"/>
            <w:shd w:val="clear" w:color="auto" w:fill="auto"/>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目标名称</w:t>
            </w:r>
          </w:p>
        </w:tc>
        <w:tc>
          <w:tcPr>
            <w:tcW w:w="2857" w:type="dxa"/>
            <w:shd w:val="clear" w:color="auto" w:fill="auto"/>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目标标杆值</w:t>
            </w:r>
          </w:p>
        </w:tc>
        <w:tc>
          <w:tcPr>
            <w:tcW w:w="1624" w:type="dxa"/>
            <w:shd w:val="clear" w:color="auto" w:fill="auto"/>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标杆值</w:t>
            </w:r>
          </w:p>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37" w:type="dxa"/>
            <w:vMerge w:val="restart"/>
            <w:shd w:val="clear" w:color="auto" w:fill="auto"/>
            <w:vAlign w:val="center"/>
          </w:tcPr>
          <w:p>
            <w:pPr>
              <w:widowControl/>
              <w:adjustRightInd w:val="0"/>
              <w:snapToGrid w:val="0"/>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color w:val="000000"/>
                <w:kern w:val="0"/>
                <w:sz w:val="24"/>
              </w:rPr>
              <w:t>项目产出</w:t>
            </w: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纳入长效管护街镇数量</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7个镇</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37" w:type="dxa"/>
            <w:vMerge w:val="continue"/>
            <w:shd w:val="clear" w:color="auto" w:fill="auto"/>
            <w:vAlign w:val="center"/>
          </w:tcPr>
          <w:p>
            <w:pPr>
              <w:widowControl/>
              <w:adjustRightInd w:val="0"/>
              <w:snapToGrid w:val="0"/>
              <w:jc w:val="center"/>
              <w:textAlignment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纳入长效管护行政村数量</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68个（包含3个即将动迁村）</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37" w:type="dxa"/>
            <w:vMerge w:val="continue"/>
            <w:shd w:val="clear" w:color="auto" w:fill="auto"/>
            <w:vAlign w:val="center"/>
          </w:tcPr>
          <w:p>
            <w:pPr>
              <w:widowControl/>
              <w:adjustRightInd w:val="0"/>
              <w:snapToGrid w:val="0"/>
              <w:jc w:val="center"/>
              <w:textAlignment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2023年基础部分长效管护资金发放村庄数量</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65个</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2022年考核部分长效管护资金发放村庄数量</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65个</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eastAsia="zh-CN"/>
              </w:rPr>
              <w:t>街镇配套资金拨付完成率</w:t>
            </w:r>
            <w:r>
              <w:rPr>
                <w:rFonts w:hint="eastAsia" w:ascii="仿宋_GB2312" w:hAnsi="仿宋_GB2312" w:eastAsia="仿宋_GB2312" w:cs="仿宋_GB2312"/>
                <w:color w:val="000000"/>
                <w:kern w:val="0"/>
                <w:sz w:val="24"/>
                <w:lang w:val="en-US" w:eastAsia="zh-CN"/>
              </w:rPr>
              <w:t xml:space="preserve"> </w:t>
            </w:r>
          </w:p>
        </w:tc>
        <w:tc>
          <w:tcPr>
            <w:tcW w:w="2857" w:type="dxa"/>
            <w:shd w:val="clear" w:color="auto" w:fill="auto"/>
            <w:vAlign w:val="center"/>
          </w:tcPr>
          <w:p>
            <w:pPr>
              <w:widowControl/>
              <w:adjustRightInd w:val="0"/>
              <w:snapToGrid w:val="0"/>
              <w:jc w:val="center"/>
              <w:textAlignment w:val="center"/>
              <w:rPr>
                <w:rFonts w:hint="default"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100%</w:t>
            </w:r>
          </w:p>
        </w:tc>
        <w:tc>
          <w:tcPr>
            <w:tcW w:w="1624" w:type="dxa"/>
            <w:shd w:val="clear" w:color="auto" w:fill="auto"/>
            <w:vAlign w:val="center"/>
          </w:tcPr>
          <w:p>
            <w:pPr>
              <w:widowControl/>
              <w:adjustRightInd w:val="0"/>
              <w:snapToGrid w:val="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奖补资金发放对象准确率</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奖补资金发放及时性</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及时，2023年9月底前发放</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restart"/>
            <w:shd w:val="clear" w:color="auto" w:fill="auto"/>
            <w:vAlign w:val="center"/>
          </w:tcPr>
          <w:p>
            <w:pPr>
              <w:widowControl/>
              <w:adjustRightInd w:val="0"/>
              <w:snapToGrid w:val="0"/>
              <w:jc w:val="center"/>
              <w:textAlignment w:val="center"/>
              <w:rPr>
                <w:rFonts w:ascii="仿宋_GB2312" w:hAnsi="仿宋_GB2312" w:eastAsia="仿宋_GB2312" w:cs="仿宋_GB2312"/>
                <w:b/>
                <w:bCs/>
                <w:sz w:val="24"/>
              </w:rPr>
            </w:pPr>
            <w:r>
              <w:rPr>
                <w:rFonts w:hint="eastAsia" w:ascii="仿宋_GB2312" w:hAnsi="仿宋_GB2312" w:eastAsia="仿宋_GB2312" w:cs="仿宋_GB2312"/>
                <w:b/>
                <w:bCs/>
                <w:color w:val="000000"/>
                <w:kern w:val="0"/>
                <w:sz w:val="24"/>
              </w:rPr>
              <w:t>项目效益</w:t>
            </w: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应补尽补率</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continue"/>
            <w:shd w:val="clear" w:color="auto" w:fill="auto"/>
            <w:vAlign w:val="center"/>
          </w:tcPr>
          <w:p>
            <w:pPr>
              <w:widowControl/>
              <w:adjustRightInd w:val="0"/>
              <w:snapToGrid w:val="0"/>
              <w:jc w:val="center"/>
              <w:textAlignment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长效管护覆盖率</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continue"/>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kern w:val="0"/>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村级长效管护机制建设率</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100%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区级美丽乡村示范村数量增长率</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市级美丽乡村示范村数量增长率</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乡村振兴示范村数量增长率</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restart"/>
            <w:shd w:val="clear" w:color="auto" w:fill="auto"/>
            <w:vAlign w:val="center"/>
          </w:tcPr>
          <w:p>
            <w:pPr>
              <w:adjustRightInd w:val="0"/>
              <w:snapToGrid w:val="0"/>
              <w:jc w:val="center"/>
              <w:rPr>
                <w:rFonts w:ascii="仿宋_GB2312" w:hAnsi="仿宋_GB2312" w:eastAsia="仿宋_GB2312" w:cs="仿宋_GB2312"/>
                <w:b/>
                <w:bCs/>
                <w:sz w:val="24"/>
              </w:rPr>
            </w:pPr>
            <w:bookmarkStart w:id="28" w:name="二、项目结果应用情况"/>
            <w:r>
              <w:rPr>
                <w:rFonts w:hint="eastAsia" w:ascii="仿宋_GB2312" w:hAnsi="仿宋_GB2312" w:eastAsia="仿宋_GB2312" w:cs="仿宋_GB2312"/>
                <w:b/>
                <w:bCs/>
                <w:color w:val="000000"/>
                <w:kern w:val="0"/>
                <w:sz w:val="24"/>
              </w:rPr>
              <w:t>满意度指标</w:t>
            </w: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辖区村民满意度</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≥85%</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7" w:type="dxa"/>
            <w:vMerge w:val="continue"/>
            <w:shd w:val="clear" w:color="auto" w:fill="auto"/>
            <w:vAlign w:val="center"/>
          </w:tcPr>
          <w:p>
            <w:pPr>
              <w:adjustRightInd w:val="0"/>
              <w:snapToGrid w:val="0"/>
              <w:jc w:val="center"/>
              <w:rPr>
                <w:rFonts w:ascii="仿宋_GB2312" w:hAnsi="仿宋_GB2312" w:eastAsia="仿宋_GB2312" w:cs="仿宋_GB2312"/>
                <w:b/>
                <w:bCs/>
                <w:sz w:val="24"/>
              </w:rPr>
            </w:pPr>
          </w:p>
        </w:tc>
        <w:tc>
          <w:tcPr>
            <w:tcW w:w="362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管理人员满意度</w:t>
            </w:r>
          </w:p>
        </w:tc>
        <w:tc>
          <w:tcPr>
            <w:tcW w:w="2857"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≥90%</w:t>
            </w:r>
          </w:p>
        </w:tc>
        <w:tc>
          <w:tcPr>
            <w:tcW w:w="1624" w:type="dxa"/>
            <w:shd w:val="clear" w:color="auto" w:fill="auto"/>
            <w:vAlign w:val="center"/>
          </w:tcPr>
          <w:p>
            <w:pPr>
              <w:widowControl/>
              <w:adjustRightInd w:val="0"/>
              <w:snapToGrid w:val="0"/>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主要目的</w:t>
            </w:r>
          </w:p>
        </w:tc>
      </w:tr>
      <w:bookmarkEnd w:id="27"/>
    </w:tbl>
    <w:p>
      <w:pPr>
        <w:adjustRightInd w:val="0"/>
        <w:snapToGrid w:val="0"/>
        <w:spacing w:line="600" w:lineRule="exact"/>
        <w:ind w:firstLine="602" w:firstLineChars="200"/>
        <w:outlineLvl w:val="0"/>
        <w:rPr>
          <w:rFonts w:ascii="黑体" w:hAnsi="黑体" w:eastAsia="黑体"/>
          <w:b/>
          <w:sz w:val="30"/>
          <w:szCs w:val="30"/>
        </w:rPr>
      </w:pPr>
      <w:bookmarkStart w:id="29" w:name="_Toc28440"/>
      <w:bookmarkStart w:id="30" w:name="_Toc5951"/>
      <w:r>
        <w:rPr>
          <w:rFonts w:hint="eastAsia" w:ascii="黑体" w:hAnsi="黑体" w:eastAsia="黑体"/>
          <w:b/>
          <w:sz w:val="30"/>
          <w:szCs w:val="30"/>
        </w:rPr>
        <w:t>二、项目评审情况</w:t>
      </w:r>
      <w:bookmarkEnd w:id="29"/>
      <w:bookmarkEnd w:id="30"/>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项目评审情况请按照以下格式：项目单位自评项目总得分为</w:t>
      </w:r>
      <w:r>
        <w:rPr>
          <w:rFonts w:hint="eastAsia" w:ascii="仿宋_GB2312" w:hAnsi="仿宋_GB2312" w:eastAsia="仿宋_GB2312" w:cs="仿宋_GB2312"/>
          <w:sz w:val="28"/>
          <w:szCs w:val="28"/>
          <w:lang w:val="en-US" w:eastAsia="zh-CN"/>
        </w:rPr>
        <w:t>92</w:t>
      </w:r>
      <w:r>
        <w:rPr>
          <w:rFonts w:hint="eastAsia" w:ascii="仿宋_GB2312" w:hAnsi="仿宋_GB2312" w:eastAsia="仿宋_GB2312" w:cs="仿宋_GB2312"/>
          <w:sz w:val="28"/>
          <w:szCs w:val="28"/>
        </w:rPr>
        <w:t>分，经评审后得分结果为</w:t>
      </w:r>
      <w:r>
        <w:rPr>
          <w:rFonts w:hint="eastAsia" w:ascii="仿宋_GB2312" w:hAnsi="仿宋_GB2312" w:eastAsia="仿宋_GB2312" w:cs="仿宋_GB2312"/>
          <w:sz w:val="28"/>
          <w:szCs w:val="28"/>
          <w:lang w:val="en-US" w:eastAsia="zh-CN"/>
        </w:rPr>
        <w:t>88.83</w:t>
      </w:r>
      <w:r>
        <w:rPr>
          <w:rFonts w:hint="eastAsia" w:ascii="仿宋_GB2312" w:hAnsi="仿宋_GB2312" w:eastAsia="仿宋_GB2312" w:cs="仿宋_GB2312"/>
          <w:sz w:val="28"/>
          <w:szCs w:val="28"/>
        </w:rPr>
        <w:t>分。其中项目决策权重50分，得分</w:t>
      </w:r>
      <w:r>
        <w:rPr>
          <w:rFonts w:hint="eastAsia" w:ascii="仿宋_GB2312" w:hAnsi="仿宋_GB2312" w:eastAsia="仿宋_GB2312" w:cs="仿宋_GB2312"/>
          <w:sz w:val="28"/>
          <w:szCs w:val="28"/>
          <w:lang w:val="en-US" w:eastAsia="zh-CN"/>
        </w:rPr>
        <w:t>43.67</w:t>
      </w:r>
      <w:r>
        <w:rPr>
          <w:rFonts w:hint="eastAsia" w:ascii="仿宋_GB2312" w:hAnsi="仿宋_GB2312" w:eastAsia="仿宋_GB2312" w:cs="仿宋_GB2312"/>
          <w:sz w:val="28"/>
          <w:szCs w:val="28"/>
        </w:rPr>
        <w:t>分；项目管理权重30分，得分</w:t>
      </w:r>
      <w:r>
        <w:rPr>
          <w:rFonts w:hint="eastAsia" w:ascii="仿宋_GB2312" w:hAnsi="仿宋_GB2312" w:eastAsia="仿宋_GB2312" w:cs="仿宋_GB2312"/>
          <w:sz w:val="28"/>
          <w:szCs w:val="28"/>
          <w:lang w:val="en-US" w:eastAsia="zh-CN"/>
        </w:rPr>
        <w:t>26.83</w:t>
      </w:r>
      <w:r>
        <w:rPr>
          <w:rFonts w:hint="eastAsia" w:ascii="仿宋_GB2312" w:hAnsi="仿宋_GB2312" w:eastAsia="仿宋_GB2312" w:cs="仿宋_GB2312"/>
          <w:sz w:val="28"/>
          <w:szCs w:val="28"/>
        </w:rPr>
        <w:t>分；项目绩效权重20分，得分</w:t>
      </w:r>
      <w:r>
        <w:rPr>
          <w:rFonts w:hint="eastAsia" w:ascii="仿宋_GB2312" w:hAnsi="仿宋_GB2312" w:eastAsia="仿宋_GB2312" w:cs="仿宋_GB2312"/>
          <w:sz w:val="28"/>
          <w:szCs w:val="28"/>
          <w:lang w:val="en-US" w:eastAsia="zh-CN"/>
        </w:rPr>
        <w:t>18.33</w:t>
      </w:r>
      <w:r>
        <w:rPr>
          <w:rFonts w:hint="eastAsia" w:ascii="仿宋_GB2312" w:hAnsi="仿宋_GB2312" w:eastAsia="仿宋_GB2312" w:cs="仿宋_GB2312"/>
          <w:sz w:val="28"/>
          <w:szCs w:val="28"/>
        </w:rPr>
        <w:t>分。</w:t>
      </w:r>
    </w:p>
    <w:p>
      <w:pPr>
        <w:adjustRightInd w:val="0"/>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从项目决策上看：本项目立项依据主要包括《中共中央国务院 关于全面推进乡村振兴加快农业农村现代化的意见》、《上海市乡村振兴促进条例》、《闵行区关于落实乡村振兴战略促进农业农村现代化发展的政策意见》等，项目实施必要性和可行性理由充足，立项程序规范，但项目预算编制存在不足。</w:t>
      </w:r>
    </w:p>
    <w:p>
      <w:pPr>
        <w:adjustRightInd w:val="0"/>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从项目管理上看：项目作为经常性的扶持政策，其财务管理制度健全，区、镇、村三级组织架构较为完善，但管理办法中未明确各考核等次的具体划分方式及占比要求。</w:t>
      </w:r>
    </w:p>
    <w:p>
      <w:pPr>
        <w:adjustRightInd w:val="0"/>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从项目绩效上看：绩效目标与项目内容、预算的关联性和匹配度较高，设置了产出数量、质量、时效目标，但与子项目的具体对应关系不够明确，且指标目标值不够量化。项目预期效益类指标能够紧密结合项目实施目的进行设计，符合财政预算绩效管理要求。项目实施能够推进绩效目标的实现，为</w:t>
      </w:r>
      <w:r>
        <w:rPr>
          <w:rFonts w:hint="eastAsia" w:ascii="仿宋_GB2312" w:hAnsi="仿宋_GB2312" w:eastAsia="仿宋_GB2312" w:cs="仿宋_GB2312"/>
          <w:sz w:val="28"/>
          <w:szCs w:val="28"/>
        </w:rPr>
        <w:t>维护农村基础设施和公共服务设施，巩固农村人居环境整治成效，提升基层社会治理水平起到推进作用</w:t>
      </w:r>
      <w:r>
        <w:rPr>
          <w:rFonts w:hint="eastAsia" w:ascii="仿宋_GB2312" w:hAnsi="宋体" w:eastAsia="仿宋_GB2312"/>
          <w:sz w:val="28"/>
          <w:szCs w:val="28"/>
        </w:rPr>
        <w:t>。</w:t>
      </w:r>
    </w:p>
    <w:p>
      <w:pPr>
        <w:adjustRightInd w:val="0"/>
        <w:snapToGrid w:val="0"/>
        <w:spacing w:line="600" w:lineRule="exact"/>
        <w:ind w:firstLine="602" w:firstLineChars="200"/>
        <w:outlineLvl w:val="0"/>
        <w:rPr>
          <w:rFonts w:ascii="黑体" w:hAnsi="黑体" w:eastAsia="黑体"/>
          <w:b/>
          <w:sz w:val="30"/>
          <w:szCs w:val="30"/>
        </w:rPr>
      </w:pPr>
      <w:bookmarkStart w:id="31" w:name="_Toc8998"/>
      <w:bookmarkStart w:id="32" w:name="_Toc27722"/>
      <w:r>
        <w:rPr>
          <w:rFonts w:hint="eastAsia" w:ascii="黑体" w:hAnsi="黑体" w:eastAsia="黑体"/>
          <w:b/>
          <w:sz w:val="30"/>
          <w:szCs w:val="30"/>
        </w:rPr>
        <w:t>三、项目存在问题与改进建议</w:t>
      </w:r>
      <w:bookmarkEnd w:id="31"/>
      <w:bookmarkEnd w:id="32"/>
    </w:p>
    <w:p>
      <w:pPr>
        <w:adjustRightInd w:val="0"/>
        <w:snapToGrid w:val="0"/>
        <w:spacing w:line="600" w:lineRule="exact"/>
        <w:ind w:firstLine="561"/>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）问题：</w:t>
      </w:r>
      <w:r>
        <w:rPr>
          <w:rFonts w:hint="eastAsia" w:ascii="仿宋_GB2312" w:hAnsi="仿宋_GB2312" w:eastAsia="仿宋_GB2312" w:cs="仿宋_GB2312"/>
          <w:b/>
          <w:bCs/>
          <w:sz w:val="28"/>
          <w:szCs w:val="28"/>
          <w:lang w:val="en-US" w:eastAsia="zh-CN"/>
        </w:rPr>
        <w:t>部分考核管理要求不够明确，影响预算编制准确性</w:t>
      </w:r>
    </w:p>
    <w:p>
      <w:pPr>
        <w:adjustRightInd w:val="0"/>
        <w:snapToGrid w:val="0"/>
        <w:spacing w:line="600" w:lineRule="exact"/>
        <w:ind w:firstLine="560" w:firstLineChars="200"/>
        <w:rPr>
          <w:rFonts w:ascii="仿宋_GB2312" w:hAnsi="宋体" w:eastAsia="仿宋_GB2312"/>
          <w:sz w:val="28"/>
          <w:szCs w:val="28"/>
        </w:rPr>
      </w:pPr>
      <w:r>
        <w:rPr>
          <w:rFonts w:hint="eastAsia" w:ascii="仿宋_GB2312" w:hAnsi="仿宋" w:eastAsia="仿宋_GB2312"/>
          <w:bCs/>
          <w:sz w:val="28"/>
          <w:szCs w:val="28"/>
        </w:rPr>
        <w:t>目前，管理办法中将年度综合考核结果分为“优秀”、“良好”、“合格”以及“不合格”四个等次，并规定奖励资金与考核结果挂钩</w:t>
      </w:r>
      <w:r>
        <w:rPr>
          <w:rFonts w:hint="eastAsia" w:ascii="仿宋_GB2312" w:hAnsi="宋体" w:eastAsia="仿宋_GB2312"/>
          <w:sz w:val="28"/>
          <w:szCs w:val="28"/>
        </w:rPr>
        <w:t>，但管理办法中未明确各考核等次的具体划分方式及占比要求。</w:t>
      </w:r>
    </w:p>
    <w:p>
      <w:pPr>
        <w:adjustRightInd w:val="0"/>
        <w:snapToGrid w:val="0"/>
        <w:spacing w:line="600" w:lineRule="exact"/>
        <w:ind w:firstLine="561"/>
        <w:rPr>
          <w:rFonts w:hint="default" w:ascii="仿宋_GB2312" w:eastAsia="仿宋_GB2312"/>
          <w:b/>
          <w:bCs/>
          <w:sz w:val="28"/>
          <w:szCs w:val="28"/>
          <w:lang w:val="en-US" w:eastAsia="zh-CN"/>
        </w:rPr>
      </w:pPr>
      <w:r>
        <w:rPr>
          <w:rFonts w:hint="eastAsia" w:ascii="仿宋_GB2312" w:eastAsia="仿宋_GB2312"/>
          <w:b/>
          <w:bCs/>
          <w:sz w:val="28"/>
          <w:szCs w:val="28"/>
        </w:rPr>
        <w:t>建议：</w:t>
      </w:r>
      <w:r>
        <w:rPr>
          <w:rFonts w:hint="eastAsia" w:ascii="仿宋_GB2312" w:eastAsia="仿宋_GB2312"/>
          <w:b/>
          <w:bCs/>
          <w:sz w:val="28"/>
          <w:szCs w:val="28"/>
          <w:lang w:val="en-US" w:eastAsia="zh-CN"/>
        </w:rPr>
        <w:t>完善考核管理要求，落实相关考核标准</w:t>
      </w:r>
    </w:p>
    <w:p>
      <w:pPr>
        <w:adjustRightInd w:val="0"/>
        <w:snapToGrid w:val="0"/>
        <w:spacing w:line="600" w:lineRule="exact"/>
        <w:ind w:firstLine="561"/>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建议</w:t>
      </w:r>
      <w:r>
        <w:rPr>
          <w:rFonts w:hint="eastAsia" w:ascii="仿宋_GB2312" w:hAnsi="宋体" w:eastAsia="仿宋_GB2312"/>
          <w:sz w:val="28"/>
          <w:szCs w:val="28"/>
        </w:rPr>
        <w:t>区农业农村委明确各考核等次的具体划分方式及占比要求，</w:t>
      </w:r>
      <w:r>
        <w:rPr>
          <w:rFonts w:hint="eastAsia" w:ascii="仿宋_GB2312" w:hAnsi="宋体" w:eastAsia="仿宋_GB2312"/>
          <w:sz w:val="28"/>
          <w:szCs w:val="28"/>
          <w:lang w:val="en-US" w:eastAsia="zh-CN"/>
        </w:rPr>
        <w:t>并据此安排预算</w:t>
      </w:r>
      <w:r>
        <w:rPr>
          <w:rFonts w:hint="eastAsia" w:ascii="仿宋_GB2312" w:hAnsi="宋体" w:eastAsia="仿宋_GB2312"/>
          <w:sz w:val="28"/>
          <w:szCs w:val="28"/>
        </w:rPr>
        <w:t>。</w:t>
      </w:r>
      <w:r>
        <w:rPr>
          <w:rFonts w:hint="eastAsia" w:ascii="仿宋_GB2312" w:hAnsi="宋体" w:eastAsia="仿宋_GB2312"/>
          <w:sz w:val="28"/>
          <w:szCs w:val="28"/>
          <w:lang w:eastAsia="zh-CN"/>
        </w:rPr>
        <w:t>此外，建议增加社会监督机制、公示要求以及美丽乡村示范村的退出机制等相关要求。</w:t>
      </w:r>
    </w:p>
    <w:p>
      <w:pPr>
        <w:numPr>
          <w:ilvl w:val="0"/>
          <w:numId w:val="0"/>
        </w:numPr>
        <w:adjustRightInd w:val="0"/>
        <w:snapToGrid w:val="0"/>
        <w:spacing w:line="6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问题：考核结果及资金下拨时间较晚，影响当年度预算执行</w:t>
      </w:r>
    </w:p>
    <w:p>
      <w:pPr>
        <w:adjustRightInd w:val="0"/>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2021年度考核结果正式出具以及区级奖励资金下拨工作均在2022年9月底完成。由于资金下拨时间较晚，截止2022年11月，各镇尚未开始使用区级奖励资金，存在资金结余的可能性。</w:t>
      </w:r>
    </w:p>
    <w:p>
      <w:pPr>
        <w:adjustRightInd w:val="0"/>
        <w:snapToGrid w:val="0"/>
        <w:spacing w:line="600" w:lineRule="exact"/>
        <w:ind w:firstLine="561"/>
        <w:rPr>
          <w:rFonts w:hint="default" w:ascii="仿宋_GB2312" w:eastAsia="仿宋_GB2312"/>
          <w:b/>
          <w:bCs/>
          <w:sz w:val="28"/>
          <w:szCs w:val="28"/>
          <w:lang w:val="en-US" w:eastAsia="zh-CN"/>
        </w:rPr>
      </w:pPr>
      <w:r>
        <w:rPr>
          <w:rFonts w:hint="eastAsia" w:ascii="仿宋_GB2312" w:eastAsia="仿宋_GB2312"/>
          <w:b/>
          <w:bCs/>
          <w:sz w:val="28"/>
          <w:szCs w:val="28"/>
        </w:rPr>
        <w:t>建议：</w:t>
      </w:r>
      <w:r>
        <w:rPr>
          <w:rFonts w:hint="eastAsia" w:ascii="仿宋_GB2312" w:eastAsia="仿宋_GB2312"/>
          <w:b/>
          <w:bCs/>
          <w:sz w:val="28"/>
          <w:szCs w:val="28"/>
          <w:lang w:val="en-US" w:eastAsia="zh-CN"/>
        </w:rPr>
        <w:t>加快推进考核工作，确保资金使用效率</w:t>
      </w:r>
    </w:p>
    <w:p>
      <w:pPr>
        <w:adjustRightInd w:val="0"/>
        <w:snapToGrid w:val="0"/>
        <w:spacing w:line="600" w:lineRule="exact"/>
        <w:ind w:firstLine="561"/>
        <w:rPr>
          <w:rFonts w:ascii="仿宋_GB2312" w:hAnsi="仿宋_GB2312" w:eastAsia="仿宋_GB2312" w:cs="仿宋_GB2312"/>
          <w:b/>
          <w:bCs/>
          <w:sz w:val="28"/>
          <w:szCs w:val="28"/>
        </w:rPr>
      </w:pPr>
      <w:r>
        <w:rPr>
          <w:rFonts w:hint="eastAsia" w:ascii="仿宋_GB2312" w:hAnsi="宋体" w:eastAsia="仿宋_GB2312"/>
          <w:sz w:val="28"/>
          <w:szCs w:val="28"/>
          <w:lang w:val="en-US" w:eastAsia="zh-CN"/>
        </w:rPr>
        <w:t>建议</w:t>
      </w:r>
      <w:r>
        <w:rPr>
          <w:rFonts w:hint="eastAsia" w:ascii="仿宋_GB2312" w:hAnsi="宋体" w:eastAsia="仿宋_GB2312"/>
          <w:sz w:val="28"/>
          <w:szCs w:val="28"/>
        </w:rPr>
        <w:t>区农业农村委</w:t>
      </w:r>
      <w:r>
        <w:rPr>
          <w:rFonts w:hint="eastAsia" w:ascii="仿宋_GB2312" w:hAnsi="宋体" w:eastAsia="仿宋_GB2312"/>
          <w:sz w:val="28"/>
          <w:szCs w:val="28"/>
          <w:lang w:val="en-US" w:eastAsia="zh-CN"/>
        </w:rPr>
        <w:t>加快</w:t>
      </w:r>
      <w:r>
        <w:rPr>
          <w:rFonts w:hint="eastAsia" w:ascii="仿宋_GB2312" w:hAnsi="宋体" w:eastAsia="仿宋_GB2312"/>
          <w:sz w:val="28"/>
          <w:szCs w:val="28"/>
        </w:rPr>
        <w:t>出具上年度考核结果，并及时下拨区级奖励资金，避免因为考核结果及资金下拨时间较晚，影响当年度资金使用效率</w:t>
      </w:r>
      <w:r>
        <w:rPr>
          <w:rFonts w:hint="eastAsia" w:ascii="仿宋_GB2312" w:hAnsi="宋体" w:eastAsia="仿宋_GB2312"/>
          <w:sz w:val="28"/>
          <w:szCs w:val="28"/>
          <w:lang w:eastAsia="zh-CN"/>
        </w:rPr>
        <w:t>；</w:t>
      </w:r>
      <w:r>
        <w:rPr>
          <w:rFonts w:hint="eastAsia" w:ascii="仿宋_GB2312" w:hAnsi="宋体" w:eastAsia="仿宋_GB2312"/>
          <w:sz w:val="28"/>
          <w:szCs w:val="28"/>
        </w:rPr>
        <w:t>建议各街镇尽快使用当年度下拨的区级奖励资金，避免资金结余的情况出现。</w:t>
      </w:r>
    </w:p>
    <w:p>
      <w:pPr>
        <w:keepNext w:val="0"/>
        <w:keepLines w:val="0"/>
        <w:pageBreakBefore w:val="0"/>
        <w:widowControl w:val="0"/>
        <w:kinsoku/>
        <w:wordWrap/>
        <w:overflowPunct/>
        <w:topLinePunct w:val="0"/>
        <w:autoSpaceDE/>
        <w:autoSpaceDN/>
        <w:bidi w:val="0"/>
        <w:adjustRightInd w:val="0"/>
        <w:snapToGrid w:val="0"/>
        <w:spacing w:line="600" w:lineRule="exact"/>
        <w:ind w:firstLine="561"/>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）绩效目标、指标设置不够细化、量化</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目前项目单位编制的绩效目标、指标主要围绕补贴的总体完成情况进行设置，未体现</w:t>
      </w:r>
      <w:r>
        <w:rPr>
          <w:rFonts w:hint="eastAsia" w:ascii="仿宋_GB2312" w:hAnsi="宋体" w:eastAsia="仿宋_GB2312"/>
          <w:sz w:val="28"/>
          <w:szCs w:val="28"/>
          <w:lang w:val="en-US" w:eastAsia="zh-CN"/>
        </w:rPr>
        <w:t>街镇及街镇配套资金的相关内容</w:t>
      </w:r>
      <w:r>
        <w:rPr>
          <w:rFonts w:hint="eastAsia" w:ascii="仿宋_GB2312" w:hAnsi="宋体" w:eastAsia="仿宋_GB2312"/>
          <w:sz w:val="28"/>
          <w:szCs w:val="28"/>
        </w:rPr>
        <w:t>，同时项目效益目标未体现</w:t>
      </w:r>
      <w:r>
        <w:rPr>
          <w:rFonts w:hint="eastAsia" w:ascii="仿宋_GB2312" w:hAnsi="宋体" w:eastAsia="仿宋_GB2312"/>
          <w:sz w:val="28"/>
          <w:szCs w:val="28"/>
          <w:lang w:val="en-US" w:eastAsia="zh-CN"/>
        </w:rPr>
        <w:t>奖补资金对于长效管理整体</w:t>
      </w:r>
      <w:r>
        <w:rPr>
          <w:rFonts w:hint="eastAsia" w:ascii="仿宋_GB2312" w:hAnsi="宋体" w:eastAsia="仿宋_GB2312"/>
          <w:sz w:val="28"/>
          <w:szCs w:val="28"/>
        </w:rPr>
        <w:t>水平的提升情况。</w:t>
      </w:r>
    </w:p>
    <w:p>
      <w:pPr>
        <w:keepNext w:val="0"/>
        <w:keepLines w:val="0"/>
        <w:pageBreakBefore w:val="0"/>
        <w:widowControl w:val="0"/>
        <w:kinsoku/>
        <w:wordWrap/>
        <w:overflowPunct/>
        <w:topLinePunct w:val="0"/>
        <w:autoSpaceDE/>
        <w:autoSpaceDN/>
        <w:bidi w:val="0"/>
        <w:adjustRightInd w:val="0"/>
        <w:snapToGrid w:val="0"/>
        <w:spacing w:line="6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建议：</w:t>
      </w:r>
      <w:r>
        <w:rPr>
          <w:rFonts w:hint="eastAsia" w:ascii="仿宋_GB2312" w:hAnsi="仿宋_GB2312" w:eastAsia="仿宋_GB2312" w:cs="仿宋_GB2312"/>
          <w:b/>
          <w:bCs/>
          <w:sz w:val="28"/>
          <w:szCs w:val="28"/>
          <w:lang w:val="en-US" w:eastAsia="zh-CN"/>
        </w:rPr>
        <w:t>进一步细化绩效目标，提高绩效指标的科学性</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ascii="仿宋_GB2312" w:hAnsi="宋体" w:eastAsia="仿宋_GB2312"/>
          <w:sz w:val="28"/>
          <w:szCs w:val="28"/>
        </w:rPr>
      </w:pPr>
      <w:r>
        <w:rPr>
          <w:rFonts w:hint="eastAsia" w:ascii="仿宋_GB2312" w:hAnsi="仿宋_GB2312" w:eastAsia="仿宋_GB2312" w:cs="仿宋_GB2312"/>
          <w:sz w:val="28"/>
          <w:szCs w:val="28"/>
        </w:rPr>
        <w:t>建议</w:t>
      </w:r>
      <w:r>
        <w:rPr>
          <w:rFonts w:hint="eastAsia" w:ascii="仿宋_GB2312" w:hAnsi="宋体" w:eastAsia="仿宋_GB2312"/>
          <w:sz w:val="28"/>
          <w:szCs w:val="28"/>
          <w:lang w:val="en-US" w:eastAsia="zh-CN"/>
        </w:rPr>
        <w:t>区农业农村委</w:t>
      </w:r>
      <w:r>
        <w:rPr>
          <w:rFonts w:hint="eastAsia" w:ascii="仿宋_GB2312" w:hAnsi="仿宋_GB2312" w:eastAsia="仿宋_GB2312" w:cs="仿宋_GB2312"/>
          <w:sz w:val="28"/>
          <w:szCs w:val="28"/>
        </w:rPr>
        <w:t>进行预算绩效目标申报时，结合项目实际工作内容，进一步体现</w:t>
      </w:r>
      <w:r>
        <w:rPr>
          <w:rFonts w:hint="eastAsia" w:ascii="仿宋_GB2312" w:hAnsi="仿宋_GB2312" w:eastAsia="仿宋_GB2312" w:cs="仿宋_GB2312"/>
          <w:sz w:val="28"/>
          <w:szCs w:val="28"/>
          <w:lang w:val="en-US" w:eastAsia="zh-CN"/>
        </w:rPr>
        <w:t>涉及的街镇数量、街镇资金配套情况等内容</w:t>
      </w:r>
      <w:r>
        <w:rPr>
          <w:rFonts w:hint="eastAsia" w:ascii="仿宋_GB2312" w:hAnsi="仿宋_GB2312" w:eastAsia="仿宋_GB2312" w:cs="仿宋_GB2312"/>
          <w:sz w:val="28"/>
          <w:szCs w:val="28"/>
        </w:rPr>
        <w:t>，完善绩效目标申报内容，并在效益目标内容体现</w:t>
      </w:r>
      <w:r>
        <w:rPr>
          <w:rFonts w:hint="eastAsia" w:ascii="仿宋_GB2312" w:hAnsi="仿宋_GB2312" w:eastAsia="仿宋_GB2312" w:cs="仿宋_GB2312"/>
          <w:sz w:val="28"/>
          <w:szCs w:val="28"/>
          <w:lang w:val="en-US" w:eastAsia="zh-CN"/>
        </w:rPr>
        <w:t>村级长效管理的覆盖情况，全区美丽乡村示范村的增长情况</w:t>
      </w:r>
      <w:r>
        <w:rPr>
          <w:rFonts w:hint="eastAsia" w:ascii="仿宋_GB2312" w:hAnsi="宋体" w:eastAsia="仿宋_GB2312"/>
          <w:sz w:val="28"/>
          <w:szCs w:val="28"/>
        </w:rPr>
        <w:t>等方面的预期效益</w:t>
      </w:r>
      <w:r>
        <w:rPr>
          <w:rFonts w:hint="eastAsia" w:ascii="仿宋_GB2312" w:hAnsi="仿宋_GB2312" w:eastAsia="仿宋_GB2312" w:cs="仿宋_GB2312"/>
          <w:sz w:val="28"/>
          <w:szCs w:val="28"/>
        </w:rPr>
        <w:t>。</w:t>
      </w:r>
    </w:p>
    <w:p>
      <w:pPr>
        <w:adjustRightInd w:val="0"/>
        <w:snapToGrid w:val="0"/>
        <w:spacing w:line="600" w:lineRule="exact"/>
        <w:ind w:firstLine="602" w:firstLineChars="200"/>
        <w:outlineLvl w:val="0"/>
        <w:rPr>
          <w:rFonts w:ascii="黑体" w:hAnsi="黑体" w:eastAsia="黑体"/>
          <w:b/>
          <w:sz w:val="30"/>
          <w:szCs w:val="30"/>
        </w:rPr>
      </w:pPr>
      <w:bookmarkStart w:id="33" w:name="_Toc11371"/>
      <w:bookmarkStart w:id="34" w:name="_Toc5893"/>
      <w:r>
        <w:rPr>
          <w:rFonts w:hint="eastAsia" w:ascii="黑体" w:hAnsi="黑体" w:eastAsia="黑体"/>
          <w:b/>
          <w:sz w:val="30"/>
          <w:szCs w:val="30"/>
        </w:rPr>
        <w:t>四、项目预算审核意见</w:t>
      </w:r>
      <w:bookmarkEnd w:id="33"/>
      <w:bookmarkEnd w:id="34"/>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2023年闵行区农业农村委申报农村人居环境长效管护奖励资金</w:t>
      </w:r>
      <w:r>
        <w:rPr>
          <w:rFonts w:hint="eastAsia" w:ascii="仿宋_GB2312" w:hAnsi="仿宋_GB2312" w:eastAsia="仿宋_GB2312" w:cs="仿宋_GB2312"/>
          <w:sz w:val="28"/>
          <w:szCs w:val="28"/>
          <w:lang w:val="en-US" w:eastAsia="zh-CN"/>
        </w:rPr>
        <w:t>项目申报</w:t>
      </w:r>
      <w:r>
        <w:rPr>
          <w:rFonts w:hint="eastAsia" w:ascii="仿宋_GB2312" w:hAnsi="仿宋_GB2312" w:eastAsia="仿宋_GB2312" w:cs="仿宋_GB2312"/>
          <w:sz w:val="28"/>
          <w:szCs w:val="28"/>
        </w:rPr>
        <w:t>预算1449.5</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均为区对镇财力结算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经专家评审，2023年项目审核</w:t>
      </w:r>
      <w:r>
        <w:rPr>
          <w:rFonts w:hint="eastAsia" w:ascii="仿宋_GB2312" w:hAnsi="仿宋_GB2312" w:eastAsia="仿宋_GB2312" w:cs="仿宋_GB2312"/>
          <w:sz w:val="28"/>
          <w:szCs w:val="28"/>
        </w:rPr>
        <w:t>金额为1397.97万元，</w:t>
      </w:r>
      <w:r>
        <w:rPr>
          <w:rFonts w:hint="eastAsia" w:ascii="仿宋_GB2312" w:hAnsi="宋体" w:eastAsia="仿宋_GB2312"/>
          <w:sz w:val="28"/>
          <w:szCs w:val="28"/>
        </w:rPr>
        <w:t>核减</w:t>
      </w:r>
      <w:r>
        <w:rPr>
          <w:rFonts w:hint="eastAsia" w:ascii="仿宋_GB2312" w:hAnsi="仿宋_GB2312" w:eastAsia="仿宋_GB2312" w:cs="仿宋_GB2312"/>
          <w:sz w:val="28"/>
          <w:szCs w:val="28"/>
        </w:rPr>
        <w:t>金额</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51.56万元，核减率</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3.56%。具体</w:t>
      </w:r>
      <w:r>
        <w:rPr>
          <w:rFonts w:hint="eastAsia" w:ascii="仿宋_GB2312" w:hAnsi="仿宋_GB2312" w:eastAsia="仿宋_GB2312" w:cs="仿宋_GB2312"/>
          <w:sz w:val="28"/>
          <w:szCs w:val="28"/>
          <w:lang w:val="en-US" w:eastAsia="zh-CN"/>
        </w:rPr>
        <w:t>审核内容</w:t>
      </w:r>
      <w:r>
        <w:rPr>
          <w:rFonts w:hint="eastAsia" w:ascii="仿宋_GB2312" w:hAnsi="仿宋_GB2312" w:eastAsia="仿宋_GB2312" w:cs="仿宋_GB2312"/>
          <w:sz w:val="28"/>
          <w:szCs w:val="28"/>
        </w:rPr>
        <w:t>如下：</w:t>
      </w:r>
      <w:bookmarkEnd w:id="28"/>
    </w:p>
    <w:p>
      <w:pPr>
        <w:adjustRightInd w:val="0"/>
        <w:snapToGrid w:val="0"/>
        <w:spacing w:line="600" w:lineRule="exact"/>
        <w:ind w:firstLine="56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本项目预算构成分为2022年长效管理奖励资金考核部分及2023年长效管理奖励资金基础部分。</w:t>
      </w:r>
    </w:p>
    <w:p>
      <w:pPr>
        <w:adjustRightInd w:val="0"/>
        <w:snapToGrid w:val="0"/>
        <w:spacing w:line="600" w:lineRule="exact"/>
        <w:ind w:firstLine="56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2022年长效管理奖励资金考核部分</w:t>
      </w:r>
    </w:p>
    <w:p>
      <w:pPr>
        <w:adjustRightInd w:val="0"/>
        <w:snapToGrid w:val="0"/>
        <w:spacing w:line="600" w:lineRule="exact"/>
        <w:ind w:firstLine="56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该部分申报预算为596.81万元，审核金额为557.52万元，核减金额为39.29万元，核减率为6.58%，具体审核情况如下：</w:t>
      </w:r>
    </w:p>
    <w:p>
      <w:pPr>
        <w:adjustRightInd w:val="0"/>
        <w:snapToGrid w:val="0"/>
        <w:spacing w:line="600" w:lineRule="exact"/>
        <w:ind w:firstLine="56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浦江镇</w:t>
      </w:r>
      <w:r>
        <w:rPr>
          <w:rFonts w:hint="eastAsia" w:ascii="仿宋_GB2312" w:hAnsi="仿宋_GB2312" w:eastAsia="仿宋_GB2312" w:cs="仿宋_GB2312"/>
          <w:sz w:val="28"/>
          <w:szCs w:val="28"/>
          <w:lang w:val="en-US" w:eastAsia="zh-CN"/>
        </w:rPr>
        <w:t>2022年长效管理奖励资金考核部分申报预算为288.50万元，审核金额为255.75万元，核减金额为32.75万元，核减率为11.35%，具体审核明细如下：</w:t>
      </w:r>
    </w:p>
    <w:p>
      <w:pPr>
        <w:adjustRightInd w:val="0"/>
        <w:snapToGrid w:val="0"/>
        <w:spacing w:line="600" w:lineRule="exact"/>
        <w:ind w:firstLine="56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1）浦江镇杜行村已基本列入动迁计划，但动迁日期尚未确定，建议该部分资金暂缓安排，核减预算3.80万元。</w:t>
      </w:r>
    </w:p>
    <w:p>
      <w:pPr>
        <w:adjustRightInd w:val="0"/>
        <w:snapToGrid w:val="0"/>
        <w:spacing w:line="600" w:lineRule="exact"/>
        <w:ind w:firstLine="56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由于新一轮政策考核结果应用要求为年度综合考核结果为“优秀”，全额拨付长效管护奖励资金；“良好”按90%比例拨付；“合格”按80%比例拨付。结合目前与区农业农村委协商确定的考核等次占比计划：“优秀”占比60%、“良好”占比30%，“合格”占比10%。根据以上情况，结合2022年区农委7-8月最新考核排名情况对2023年项目预算中2022年考核部分资金进行相应调整</w:t>
      </w:r>
      <w:r>
        <w:rPr>
          <w:rFonts w:hint="eastAsia" w:ascii="仿宋_GB2312" w:hAnsi="仿宋_GB2312" w:eastAsia="仿宋_GB2312" w:cs="仿宋_GB2312"/>
          <w:sz w:val="28"/>
          <w:szCs w:val="28"/>
          <w:lang w:eastAsia="zh-CN"/>
        </w:rPr>
        <w:t>。</w:t>
      </w:r>
    </w:p>
    <w:p>
      <w:pPr>
        <w:adjustRightInd w:val="0"/>
        <w:snapToGrid w:val="0"/>
        <w:spacing w:line="600" w:lineRule="exact"/>
        <w:ind w:firstLine="56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浦江镇新风、汇西、汇北、苏民等17个村排名为45-67名，按90%比例安排，核减预算16.27万元；浦江镇东风、胜利、建新等4个村以及吴泾镇塘湾村共5个村排名为68-75名，按80%比例安排，核减预算12.06万元；浦江镇汇中村由于正在进行市级乡村振兴示范村创建工作，未纳入排名，暂按90%比例安排，核减预算0.62万元，共计核减金额28.96万元。</w:t>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吴泾</w:t>
      </w:r>
      <w:r>
        <w:rPr>
          <w:rFonts w:hint="eastAsia" w:ascii="仿宋_GB2312" w:hAnsi="仿宋_GB2312" w:eastAsia="仿宋_GB2312" w:cs="仿宋_GB2312"/>
          <w:sz w:val="28"/>
          <w:szCs w:val="28"/>
        </w:rPr>
        <w:t>镇</w:t>
      </w:r>
      <w:r>
        <w:rPr>
          <w:rFonts w:hint="eastAsia" w:ascii="仿宋_GB2312" w:hAnsi="仿宋_GB2312" w:eastAsia="仿宋_GB2312" w:cs="仿宋_GB2312"/>
          <w:sz w:val="28"/>
          <w:szCs w:val="28"/>
          <w:lang w:val="en-US" w:eastAsia="zh-CN"/>
        </w:rPr>
        <w:t>2022年长效管理奖励资金考核部分申报预算为48.03万元，审核金额为44.40万元，核减金额为3.63万元，核减率为7.56%，核减主要原因为：</w:t>
      </w:r>
      <w:r>
        <w:rPr>
          <w:rFonts w:hint="eastAsia" w:ascii="仿宋_GB2312" w:hAnsi="仿宋_GB2312" w:eastAsia="仿宋_GB2312" w:cs="仿宋_GB2312"/>
          <w:sz w:val="28"/>
          <w:szCs w:val="28"/>
        </w:rPr>
        <w:t>吴泾镇塘湾村排名</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68-75名，按80%比例安排2022年考核部分预算，核减金额3.63万元。</w:t>
      </w:r>
    </w:p>
    <w:p>
      <w:pPr>
        <w:adjustRightInd w:val="0"/>
        <w:snapToGrid w:val="0"/>
        <w:spacing w:line="600" w:lineRule="exact"/>
        <w:ind w:firstLine="561"/>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颛桥镇2022年长效管理奖励资金考核部分申报预算为2.52万元，审核金额为0.00万元，核减金额为2.52万元，核减率为100%，核减主要原因为：经清算，颛桥镇</w:t>
      </w:r>
      <w:r>
        <w:rPr>
          <w:rFonts w:hint="eastAsia" w:ascii="仿宋_GB2312" w:hAnsi="仿宋_GB2312" w:eastAsia="仿宋_GB2312" w:cs="仿宋_GB2312"/>
          <w:sz w:val="28"/>
          <w:szCs w:val="28"/>
        </w:rPr>
        <w:t>2020、2021年</w:t>
      </w:r>
      <w:r>
        <w:rPr>
          <w:rFonts w:hint="eastAsia" w:ascii="仿宋_GB2312" w:hAnsi="仿宋_GB2312" w:eastAsia="仿宋_GB2312" w:cs="仿宋_GB2312"/>
          <w:sz w:val="28"/>
          <w:szCs w:val="28"/>
          <w:lang w:val="en-US" w:eastAsia="zh-CN"/>
        </w:rPr>
        <w:t>项目资金未使用，共计结余资金7.05万元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由于</w:t>
      </w:r>
      <w:r>
        <w:rPr>
          <w:rFonts w:hint="eastAsia" w:ascii="仿宋_GB2312" w:hAnsi="仿宋_GB2312" w:eastAsia="仿宋_GB2312" w:cs="仿宋_GB2312"/>
          <w:sz w:val="28"/>
          <w:szCs w:val="28"/>
        </w:rPr>
        <w:t>结余总额已超2023年预算金额，因此2023年度预算不再安排该镇奖补资金。</w:t>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4.梅陇镇2022年长效管理奖励资金考核部分申报预算为59.64万元，审核金额为59.25万元，核减金额为0.39万元，核减率为0.65%，核减主要原因为：</w:t>
      </w:r>
      <w:r>
        <w:rPr>
          <w:rFonts w:hint="eastAsia" w:ascii="仿宋_GB2312" w:hAnsi="仿宋_GB2312" w:eastAsia="仿宋_GB2312" w:cs="仿宋_GB2312"/>
          <w:sz w:val="28"/>
          <w:szCs w:val="28"/>
        </w:rPr>
        <w:t>梅陇镇曙建村排名</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45-67名，按90%比例安排2022年考核部分预算，该部分核减预算0.39万元。</w:t>
      </w:r>
    </w:p>
    <w:p>
      <w:pPr>
        <w:adjustRightInd w:val="0"/>
        <w:snapToGrid w:val="0"/>
        <w:spacing w:line="600" w:lineRule="exact"/>
        <w:ind w:firstLine="561"/>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5.马桥镇2022年长效管理奖励资金考核部分申报预算为86.26万元，审核金额为86.26万元；华漕镇考核部分申报预算为103.00万元，审核金额为103.00万元；七宝镇考核部分申报预算为8.86万元，审核金额为8.86万元。经审核，以上各镇2022年长效管理奖励资金考核部分预算安排具有一定的科学合理性。</w:t>
      </w:r>
    </w:p>
    <w:p>
      <w:pPr>
        <w:adjustRightInd w:val="0"/>
        <w:snapToGrid w:val="0"/>
        <w:spacing w:line="600" w:lineRule="exact"/>
        <w:ind w:firstLine="561"/>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2023年长效管理奖励资金基础部分</w:t>
      </w:r>
    </w:p>
    <w:p>
      <w:pPr>
        <w:adjustRightInd w:val="0"/>
        <w:snapToGrid w:val="0"/>
        <w:spacing w:line="600" w:lineRule="exact"/>
        <w:ind w:firstLine="56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该部分申报预算为852.72万元，审核金额为840.45万元，核减金额为12.27万元，核减率为1.44%，具体审核情况如下：</w:t>
      </w:r>
    </w:p>
    <w:p>
      <w:pPr>
        <w:adjustRightInd w:val="0"/>
        <w:snapToGrid w:val="0"/>
        <w:spacing w:line="600" w:lineRule="exact"/>
        <w:ind w:firstLine="56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浦江镇</w:t>
      </w:r>
      <w:r>
        <w:rPr>
          <w:rFonts w:hint="eastAsia" w:ascii="仿宋_GB2312" w:hAnsi="仿宋_GB2312" w:eastAsia="仿宋_GB2312" w:cs="仿宋_GB2312"/>
          <w:sz w:val="28"/>
          <w:szCs w:val="28"/>
          <w:lang w:val="en-US" w:eastAsia="zh-CN"/>
        </w:rPr>
        <w:t>2023年长效管理奖励资金考核部分申报预算为404.39万元，审核金额为398.69万元，核减金额为5.70万元，核减率为1.43%，核减主要原因为：浦江镇杜行村已基本列入动迁计划，但动迁日期尚未确定，建议该部分资金暂缓安排，核减预算5.70万元。</w:t>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2.颛桥镇2023年长效管理奖励资金基础部分申报预算为3.78万元，审核金额为0.00万元，核减金额为3.78万元，核减率为100%，核减主要原因为：经清算，颛桥镇</w:t>
      </w:r>
      <w:r>
        <w:rPr>
          <w:rFonts w:hint="eastAsia" w:ascii="仿宋_GB2312" w:hAnsi="仿宋_GB2312" w:eastAsia="仿宋_GB2312" w:cs="仿宋_GB2312"/>
          <w:sz w:val="28"/>
          <w:szCs w:val="28"/>
        </w:rPr>
        <w:t>2020、2021年</w:t>
      </w:r>
      <w:r>
        <w:rPr>
          <w:rFonts w:hint="eastAsia" w:ascii="仿宋_GB2312" w:hAnsi="仿宋_GB2312" w:eastAsia="仿宋_GB2312" w:cs="仿宋_GB2312"/>
          <w:sz w:val="28"/>
          <w:szCs w:val="28"/>
          <w:lang w:val="en-US" w:eastAsia="zh-CN"/>
        </w:rPr>
        <w:t>项目资金未使用，共计结余资金7.05万元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由于</w:t>
      </w:r>
      <w:r>
        <w:rPr>
          <w:rFonts w:hint="eastAsia" w:ascii="仿宋_GB2312" w:hAnsi="仿宋_GB2312" w:eastAsia="仿宋_GB2312" w:cs="仿宋_GB2312"/>
          <w:sz w:val="28"/>
          <w:szCs w:val="28"/>
        </w:rPr>
        <w:t>结余总额已超2023年预算金额，因此2023年度预算不再安排该镇奖补资金。</w:t>
      </w:r>
    </w:p>
    <w:p>
      <w:pPr>
        <w:adjustRightInd w:val="0"/>
        <w:snapToGrid w:val="0"/>
        <w:spacing w:line="60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3.梅陇镇2023年长效管理奖励资金基础部分申报预算为75.59万元，审核金额为72.80万元，核减金额为2.79万元，核减率为3.69%，核减主要原因为：梅陇镇2021年结余2.79万元，相应调减2023年预算</w:t>
      </w:r>
      <w:r>
        <w:rPr>
          <w:rFonts w:hint="eastAsia" w:ascii="仿宋_GB2312" w:hAnsi="仿宋_GB2312" w:eastAsia="仿宋_GB2312" w:cs="仿宋_GB2312"/>
          <w:sz w:val="28"/>
          <w:szCs w:val="28"/>
        </w:rPr>
        <w:t>。</w:t>
      </w:r>
    </w:p>
    <w:p>
      <w:pPr>
        <w:adjustRightInd w:val="0"/>
        <w:snapToGrid w:val="0"/>
        <w:spacing w:line="600" w:lineRule="exact"/>
        <w:ind w:firstLine="56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4.吴泾镇</w:t>
      </w:r>
      <w:r>
        <w:rPr>
          <w:rFonts w:hint="eastAsia" w:ascii="仿宋_GB2312" w:hAnsi="仿宋_GB2312" w:eastAsia="仿宋_GB2312" w:cs="仿宋_GB2312"/>
          <w:sz w:val="28"/>
          <w:szCs w:val="28"/>
          <w:u w:val="none"/>
          <w:lang w:val="en-US" w:eastAsia="zh-CN"/>
        </w:rPr>
        <w:t>2022年长效管理奖励资金基础部分申报预算为59.69万元，审核金额为59.69万元；马桥镇基础部分申报预算为117.32万元，审核金额为117.32万元；华漕镇基础部分申报预算为154.51万元，审核金额为154.51万元；七宝镇基础部分申报预算为13.29万元，审核金额为13.29万元。经审核，以上各镇2022年长效管理奖励资金基础部分预算安排具有一定的科学合理性。</w:t>
      </w:r>
    </w:p>
    <w:p>
      <w:pPr>
        <w:adjustRightInd w:val="0"/>
        <w:snapToGrid w:val="0"/>
        <w:spacing w:line="600" w:lineRule="exact"/>
        <w:ind w:firstLine="561"/>
        <w:rPr>
          <w:rFonts w:ascii="仿宋_GB2312" w:hAnsi="仿宋_GB2312" w:eastAsia="仿宋_GB2312" w:cs="仿宋_GB2312"/>
          <w:sz w:val="28"/>
          <w:szCs w:val="28"/>
        </w:rPr>
        <w:sectPr>
          <w:footerReference r:id="rId5" w:type="default"/>
          <w:type w:val="continuous"/>
          <w:pgSz w:w="11905" w:h="16838"/>
          <w:pgMar w:top="1134" w:right="1134" w:bottom="1134" w:left="1134" w:header="851" w:footer="992" w:gutter="0"/>
          <w:pgNumType w:start="1"/>
          <w:cols w:space="0" w:num="1"/>
          <w:docGrid w:type="lines" w:linePitch="323" w:charSpace="0"/>
        </w:sectPr>
      </w:pPr>
      <w:r>
        <w:rPr>
          <w:rFonts w:hint="eastAsia" w:ascii="仿宋_GB2312" w:hAnsi="仿宋_GB2312" w:eastAsia="仿宋_GB2312" w:cs="仿宋_GB2312"/>
          <w:sz w:val="28"/>
          <w:szCs w:val="28"/>
        </w:rPr>
        <w:t>经调研各镇调减情况如下：</w:t>
      </w:r>
    </w:p>
    <w:p>
      <w:pPr>
        <w:adjustRightInd w:val="0"/>
        <w:snapToGrid w:val="0"/>
        <w:ind w:firstLine="561"/>
        <w:jc w:val="center"/>
        <w:rPr>
          <w:rFonts w:hint="eastAsia" w:ascii="仿宋_GB2312" w:hAnsi="仿宋_GB2312" w:eastAsia="黑体" w:cs="仿宋_GB2312"/>
          <w:sz w:val="28"/>
          <w:szCs w:val="28"/>
          <w:lang w:eastAsia="zh-CN"/>
        </w:rPr>
      </w:pPr>
      <w:r>
        <w:rPr>
          <w:rFonts w:hint="eastAsia" w:ascii="黑体" w:hAnsi="黑体" w:eastAsia="黑体" w:cs="黑体"/>
          <w:b/>
          <w:szCs w:val="21"/>
        </w:rPr>
        <w:t>表4-1  闵行区2023年农村人居环境长效管护奖励资金项目预算</w:t>
      </w:r>
      <w:r>
        <w:rPr>
          <w:rFonts w:hint="eastAsia" w:ascii="黑体" w:hAnsi="黑体" w:eastAsia="黑体" w:cs="黑体"/>
          <w:b/>
          <w:szCs w:val="21"/>
          <w:lang w:val="en-US" w:eastAsia="zh-CN"/>
        </w:rPr>
        <w:t>审核明细</w:t>
      </w:r>
      <w:r>
        <w:rPr>
          <w:rFonts w:hint="eastAsia" w:ascii="黑体" w:hAnsi="黑体" w:eastAsia="黑体" w:cs="黑体"/>
          <w:b/>
          <w:szCs w:val="21"/>
        </w:rPr>
        <w:t>表</w:t>
      </w:r>
      <w:r>
        <w:rPr>
          <w:rFonts w:hint="eastAsia" w:ascii="黑体" w:hAnsi="黑体" w:eastAsia="黑体" w:cs="黑体"/>
          <w:b/>
          <w:szCs w:val="21"/>
          <w:lang w:eastAsia="zh-CN"/>
        </w:rPr>
        <w:t>（</w:t>
      </w:r>
      <w:r>
        <w:rPr>
          <w:rFonts w:hint="eastAsia" w:ascii="黑体" w:hAnsi="黑体" w:eastAsia="黑体" w:cs="黑体"/>
          <w:b/>
          <w:szCs w:val="21"/>
          <w:lang w:val="en-US" w:eastAsia="zh-CN"/>
        </w:rPr>
        <w:t>按镇汇总</w:t>
      </w:r>
      <w:r>
        <w:rPr>
          <w:rFonts w:hint="eastAsia" w:ascii="黑体" w:hAnsi="黑体" w:eastAsia="黑体" w:cs="黑体"/>
          <w:b/>
          <w:szCs w:val="21"/>
          <w:lang w:eastAsia="zh-CN"/>
        </w:rPr>
        <w:t>）</w:t>
      </w:r>
    </w:p>
    <w:tbl>
      <w:tblPr>
        <w:tblStyle w:val="14"/>
        <w:tblW w:w="4999" w:type="pct"/>
        <w:tblInd w:w="0" w:type="dxa"/>
        <w:tblLayout w:type="fixed"/>
        <w:tblCellMar>
          <w:top w:w="0" w:type="dxa"/>
          <w:left w:w="108" w:type="dxa"/>
          <w:bottom w:w="0" w:type="dxa"/>
          <w:right w:w="108" w:type="dxa"/>
        </w:tblCellMar>
      </w:tblPr>
      <w:tblGrid>
        <w:gridCol w:w="323"/>
        <w:gridCol w:w="557"/>
        <w:gridCol w:w="805"/>
        <w:gridCol w:w="1605"/>
        <w:gridCol w:w="1352"/>
        <w:gridCol w:w="1124"/>
        <w:gridCol w:w="1952"/>
        <w:gridCol w:w="1924"/>
        <w:gridCol w:w="1105"/>
        <w:gridCol w:w="933"/>
        <w:gridCol w:w="762"/>
        <w:gridCol w:w="2343"/>
      </w:tblGrid>
      <w:tr>
        <w:tblPrEx>
          <w:tblCellMar>
            <w:top w:w="0" w:type="dxa"/>
            <w:left w:w="108" w:type="dxa"/>
            <w:bottom w:w="0" w:type="dxa"/>
            <w:right w:w="108" w:type="dxa"/>
          </w:tblCellMar>
        </w:tblPrEx>
        <w:trPr>
          <w:cantSplit/>
          <w:trHeight w:val="23" w:hRule="atLeast"/>
          <w:tblHeader/>
        </w:trPr>
        <w:tc>
          <w:tcPr>
            <w:tcW w:w="1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二级细分</w:t>
            </w:r>
          </w:p>
        </w:tc>
        <w:tc>
          <w:tcPr>
            <w:tcW w:w="188" w:type="pct"/>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所属镇</w:t>
            </w:r>
          </w:p>
        </w:tc>
        <w:tc>
          <w:tcPr>
            <w:tcW w:w="16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2023年申报情况</w:t>
            </w:r>
          </w:p>
        </w:tc>
        <w:tc>
          <w:tcPr>
            <w:tcW w:w="305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2023年预算调整建议</w:t>
            </w:r>
          </w:p>
        </w:tc>
      </w:tr>
      <w:tr>
        <w:tblPrEx>
          <w:tblCellMar>
            <w:top w:w="0" w:type="dxa"/>
            <w:left w:w="108" w:type="dxa"/>
            <w:bottom w:w="0" w:type="dxa"/>
            <w:right w:w="108" w:type="dxa"/>
          </w:tblCellMar>
        </w:tblPrEx>
        <w:trPr>
          <w:cantSplit/>
          <w:trHeight w:val="23" w:hRule="atLeast"/>
          <w:tblHeader/>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b/>
                <w:bCs/>
                <w:color w:val="000000"/>
                <w:sz w:val="18"/>
                <w:szCs w:val="18"/>
              </w:rPr>
            </w:pPr>
          </w:p>
        </w:tc>
        <w:tc>
          <w:tcPr>
            <w:tcW w:w="188" w:type="pct"/>
            <w:vMerge w:val="continue"/>
            <w:tcBorders>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奖补标准（元）</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奖补情况</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宅基户数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申报预算</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奖补标准（元）</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奖补情况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宅基户数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val="en-US" w:eastAsia="zh-CN" w:bidi="ar"/>
              </w:rPr>
              <w:t>审核</w:t>
            </w:r>
            <w:r>
              <w:rPr>
                <w:rFonts w:hint="eastAsia" w:ascii="仿宋_GB2312" w:hAnsi="仿宋_GB2312" w:eastAsia="仿宋_GB2312" w:cs="仿宋_GB2312"/>
                <w:b/>
                <w:bCs/>
                <w:color w:val="000000"/>
                <w:kern w:val="0"/>
                <w:sz w:val="18"/>
                <w:szCs w:val="18"/>
                <w:lang w:bidi="ar"/>
              </w:rPr>
              <w:t>预算</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val="en-US" w:eastAsia="zh-CN" w:bidi="ar"/>
              </w:rPr>
              <w:t>核减</w:t>
            </w:r>
            <w:r>
              <w:rPr>
                <w:rFonts w:hint="eastAsia" w:ascii="仿宋_GB2312" w:hAnsi="仿宋_GB2312" w:eastAsia="仿宋_GB2312" w:cs="仿宋_GB2312"/>
                <w:b/>
                <w:bCs/>
                <w:color w:val="000000"/>
                <w:kern w:val="0"/>
                <w:sz w:val="18"/>
                <w:szCs w:val="18"/>
                <w:lang w:bidi="ar"/>
              </w:rPr>
              <w:t>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调整原因</w:t>
            </w:r>
          </w:p>
        </w:tc>
      </w:tr>
      <w:tr>
        <w:tblPrEx>
          <w:tblCellMar>
            <w:top w:w="0" w:type="dxa"/>
            <w:left w:w="108" w:type="dxa"/>
            <w:bottom w:w="0" w:type="dxa"/>
            <w:right w:w="108" w:type="dxa"/>
          </w:tblCellMar>
        </w:tblPrEx>
        <w:trPr>
          <w:cantSplit/>
          <w:trHeight w:val="23" w:hRule="atLeast"/>
        </w:trPr>
        <w:tc>
          <w:tcPr>
            <w:tcW w:w="1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长效管理奖励资金考核部分</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浦江镇</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一般行政村200元/户、区级美丽乡村示范村280元/户、市级美丽乡村示范村和市级乡村振兴示范村360元/户</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涉及22个一般村庄、6个区级美丽乡村示范村、2个市级美丽乡村示范村以及1个市级乡村振兴示范村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共12399户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288.5</w:t>
            </w:r>
            <w:r>
              <w:rPr>
                <w:rFonts w:hint="eastAsia" w:ascii="仿宋_GB2312" w:hAnsi="仿宋_GB2312" w:eastAsia="仿宋_GB2312" w:cs="仿宋_GB2312"/>
                <w:color w:val="000000"/>
                <w:kern w:val="0"/>
                <w:sz w:val="18"/>
                <w:szCs w:val="18"/>
                <w:lang w:val="en-US" w:eastAsia="zh-CN" w:bidi="ar"/>
              </w:rPr>
              <w:t>0</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bidi="ar"/>
              </w:rPr>
              <w:t>一般行政村200元/户、区级美丽乡村示范村280元/户、市级美丽乡村示范村和市级乡村振兴示范村360元/户</w:t>
            </w:r>
          </w:p>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根据政策要求，各奖补等次与年度综合考核结果挂钩，“优秀”等次占比60%，即前45名全额拨付资金；“良好”等次占比30%，即45-67名按90%比例拨付；“合格”等次占比10%，即68-75名按80%比例拨付。</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涉及21个一般村庄、6个区级美丽乡村示范村、2个市级美丽乡村示范村以及1个市级乡村振兴示范村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共12399户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255.75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-32.75</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浦江镇新风、汇西、汇北、苏民等17个村排名45-67名，按90%比例安排，核减预算16.27万元；浦江镇东风、胜利、建新等4个村以及吴泾镇塘湾村共5个村排名68-75名，按80%比例安排，核减预算12.06万元；浦江镇汇中村由于正在进行市级乡村振兴示范村创建工作，未纳入排名，暂按90%比例安排，核减预算0.62万元；杜行村已基本列入动迁计划，但动迁日期尚未确定，建议该部分资金暂缓安排，核减预算3.8万元，总计核减金额32.75万元。</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吴泾镇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涉及1个一般村庄、2个区级美丽乡村示范村、2个市级美丽乡村示范村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共1787户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48.03</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涉及1个一般村庄、2个区级美丽乡村示范村、2个市级美丽乡村示范村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共1787户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44.4</w:t>
            </w:r>
            <w:r>
              <w:rPr>
                <w:rFonts w:hint="eastAsia" w:ascii="仿宋_GB2312" w:hAnsi="仿宋_GB2312" w:eastAsia="仿宋_GB2312" w:cs="仿宋_GB2312"/>
                <w:color w:val="000000"/>
                <w:kern w:val="0"/>
                <w:sz w:val="18"/>
                <w:szCs w:val="18"/>
                <w:lang w:val="en-US" w:eastAsia="zh-CN" w:bidi="ar"/>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-3.63</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吴泾镇塘湾村排名68-75名，按80%比例安排2022年考核部分预算，核减金额3.63万元。</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马桥镇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涉及2个一般村庄、2个区级美丽乡村示范村、1个市级美丽乡村示范村以及2个市级乡村振兴示范村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共2936户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86.26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涉及2个一般村庄、2个区级美丽乡村示范村、1个市级美丽乡村示范村以及2个市级乡村振兴示范村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共2936户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86.26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颛桥镇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涉及1个区级美丽乡村示范村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共90户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2.52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涉及1个区级美丽乡村示范村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共90户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0</w:t>
            </w:r>
            <w:r>
              <w:rPr>
                <w:rFonts w:hint="eastAsia" w:ascii="仿宋_GB2312" w:hAnsi="仿宋_GB2312" w:eastAsia="仿宋_GB2312" w:cs="仿宋_GB2312"/>
                <w:color w:val="000000"/>
                <w:kern w:val="0"/>
                <w:sz w:val="18"/>
                <w:szCs w:val="18"/>
                <w:lang w:val="en-US" w:eastAsia="zh-CN" w:bidi="ar"/>
              </w:rPr>
              <w:t>.00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-2.52</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由于颛桥镇2020、2021年合计结余总额超出2023年预算金额，因此2023年度预算不再安排该镇奖补资金。</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梅陇镇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涉及5个一般村庄、2个区级美丽乡村示范村、1个市级美丽乡村示范村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共2479户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59.64</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涉及5个一般村庄、2个区级美丽乡村示范村、1个市级美丽乡村示范村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共2479户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59.25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-0.39</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梅陇镇曙建村排名</w:t>
            </w:r>
            <w:r>
              <w:rPr>
                <w:rFonts w:hint="eastAsia" w:ascii="仿宋_GB2312" w:hAnsi="仿宋_GB2312" w:eastAsia="仿宋_GB2312" w:cs="仿宋_GB2312"/>
                <w:color w:val="000000"/>
                <w:kern w:val="0"/>
                <w:sz w:val="18"/>
                <w:szCs w:val="18"/>
                <w:lang w:val="en-US" w:eastAsia="zh-CN" w:bidi="ar"/>
              </w:rPr>
              <w:t>为</w:t>
            </w:r>
            <w:r>
              <w:rPr>
                <w:rFonts w:hint="eastAsia" w:ascii="仿宋_GB2312" w:hAnsi="仿宋_GB2312" w:eastAsia="仿宋_GB2312" w:cs="仿宋_GB2312"/>
                <w:color w:val="000000"/>
                <w:kern w:val="0"/>
                <w:sz w:val="18"/>
                <w:szCs w:val="18"/>
                <w:lang w:bidi="ar"/>
              </w:rPr>
              <w:t>45-67名，按90%比例安排2022年考核部分预算，该部分核减预算0.39万元</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华漕镇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涉及8个一般村庄、1个区级美丽乡村示范村、3个市级美丽乡村示范村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共4191户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103.00 </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涉及8个一般村庄、1个区级美丽乡村示范村、3个市级美丽乡村示范村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共4191户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103</w:t>
            </w:r>
            <w:r>
              <w:rPr>
                <w:rFonts w:hint="eastAsia" w:ascii="仿宋_GB2312" w:hAnsi="仿宋_GB2312" w:eastAsia="仿宋_GB2312" w:cs="仿宋_GB2312"/>
                <w:color w:val="000000"/>
                <w:kern w:val="0"/>
                <w:sz w:val="18"/>
                <w:szCs w:val="18"/>
                <w:lang w:val="en-US" w:eastAsia="zh-CN" w:bidi="ar"/>
              </w:rPr>
              <w:t>.00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七宝镇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共443户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8.86</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共443户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8.86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共24325户</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596.81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共24325户</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557.52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-39.29</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长效管理奖励资金基础部分</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浦江镇</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一般行政村300元/户、区级美丽乡村示范村420元/户、市级美丽乡村示范村和市级乡村振兴示范村540元/户</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涉及22个一般村庄、6个区级美丽乡村示范村、2个市级美丽乡村示范村以及1个市级乡村振兴示范村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共11514户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404.39</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一般行政村300元/户、区级美丽乡村示范村420元/户、市级美丽乡村示范村和市级乡村振兴示范村540元/户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涉及22个一般村庄、6个区级美丽乡村示范村、2个市级美丽乡村示范村以及1个市级乡村振兴示范村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共11514户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398.69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-5.7</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杜行村已基本列入动迁计划，但动迁日期尚未确定，建议该部分资金暂缓安排，核减金额5.7万元。</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吴泾镇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涉及1个一般村庄、2个区级美丽乡村示范村、2个市级美丽乡村示范村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共1474户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59.69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涉及1个一般村庄、2个区级美丽乡村示范村、2个市级美丽乡村示范村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共1474户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59.69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马桥镇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涉及2个一般村庄、2个区级美丽乡村示范村、1个市级美丽乡村示范村以及2个市级乡村振兴示范村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共2619户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117.32</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涉及2个一般村庄、2个区级美丽乡村示范村、1个市级美丽乡村示范村以及2个市级乡村振兴示范村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共2619户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117.32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颛桥镇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涉及1个区级美丽乡村示范村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共90户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3.78</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涉及1个区级美丽乡村示范村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共90户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0</w:t>
            </w:r>
            <w:r>
              <w:rPr>
                <w:rFonts w:hint="eastAsia" w:ascii="仿宋_GB2312" w:hAnsi="仿宋_GB2312" w:eastAsia="仿宋_GB2312" w:cs="仿宋_GB2312"/>
                <w:color w:val="000000"/>
                <w:kern w:val="0"/>
                <w:sz w:val="18"/>
                <w:szCs w:val="18"/>
                <w:lang w:val="en-US" w:eastAsia="zh-CN" w:bidi="ar"/>
              </w:rPr>
              <w:t>.00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-3.78</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由于颛桥镇2020、2021年合计结余总额超出2023年预算金额，因此2023年度预算不再安排该镇奖补资金。</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梅陇镇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涉及5个一般村庄、2个区级美丽乡村示范村、1个市级美丽乡村示范村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共2088户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75.59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涉及5个一般村庄、2个区级美丽乡村示范村、1个市级美丽乡村示范村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共2088户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bidi="ar"/>
              </w:rPr>
              <w:t>72.8</w:t>
            </w:r>
            <w:r>
              <w:rPr>
                <w:rFonts w:hint="eastAsia" w:ascii="仿宋_GB2312" w:hAnsi="仿宋_GB2312" w:eastAsia="仿宋_GB2312" w:cs="仿宋_GB2312"/>
                <w:color w:val="000000"/>
                <w:kern w:val="0"/>
                <w:sz w:val="18"/>
                <w:szCs w:val="18"/>
                <w:lang w:val="en-US" w:eastAsia="zh-CN" w:bidi="ar"/>
              </w:rPr>
              <w:t>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-2.79</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梅陇镇2021年结余2.79万元，相应调减2023年预算。</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华漕镇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涉及8个一般村庄、1个区级美丽乡村示范村、3个市级美丽乡村示范村</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共4191户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154.51</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涉及8个一般村庄、1个区级美丽乡村示范村、3个市级美丽乡村示范村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共4191户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154.51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七宝镇</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共443户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13.29</w:t>
            </w: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涉及2个一般村庄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共443户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13.29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浦江镇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100元/户</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用于苏民、东风、镇北、汇宏共4个2021年新增区级美丽乡村示范村考核奖励补差</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共2089户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20.89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100元/户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用于苏民、东风、镇北、汇宏共4个2021年新增区级美丽乡村示范村考核奖励补差</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共2089户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20.89</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马桥镇</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100元/户</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用于友好村的2021年新增区级美丽乡村示范村考核奖励补差</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共326户</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3.26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100元/户</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用于友好村的2021年新增区级美丽乡村示范村考核奖励补差</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共326户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3.26</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0</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ascii="仿宋_GB2312" w:hAnsi="仿宋_GB2312" w:eastAsia="仿宋_GB2312" w:cs="仿宋_GB2312"/>
                <w:color w:val="000000"/>
                <w:sz w:val="18"/>
                <w:szCs w:val="18"/>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共22419户</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852.72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共22419户</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840.45</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kern w:val="0"/>
                <w:sz w:val="18"/>
                <w:szCs w:val="18"/>
                <w:lang w:bidi="ar"/>
              </w:rPr>
              <w:t>-12.27</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p>
        </w:tc>
      </w:tr>
      <w:tr>
        <w:tblPrEx>
          <w:tblCellMar>
            <w:top w:w="0" w:type="dxa"/>
            <w:left w:w="108" w:type="dxa"/>
            <w:bottom w:w="0" w:type="dxa"/>
            <w:right w:w="108" w:type="dxa"/>
          </w:tblCellMar>
        </w:tblPrEx>
        <w:trPr>
          <w:cantSplit/>
          <w:trHeight w:val="23" w:hRule="atLeast"/>
        </w:trPr>
        <w:tc>
          <w:tcPr>
            <w:tcW w:w="11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1449.53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1397.97</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lang w:bidi="ar"/>
              </w:rPr>
              <w:t>-51.56</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仿宋_GB2312" w:hAnsi="仿宋_GB2312" w:eastAsia="仿宋_GB2312" w:cs="仿宋_GB2312"/>
                <w:b/>
                <w:bCs/>
                <w:color w:val="000000"/>
                <w:sz w:val="18"/>
                <w:szCs w:val="18"/>
              </w:rPr>
            </w:pPr>
          </w:p>
        </w:tc>
      </w:tr>
    </w:tbl>
    <w:p>
      <w:pPr>
        <w:adjustRightInd w:val="0"/>
        <w:snapToGrid w:val="0"/>
        <w:ind w:firstLine="561"/>
        <w:rPr>
          <w:rFonts w:ascii="仿宋_GB2312" w:hAnsi="仿宋_GB2312" w:eastAsia="仿宋_GB2312" w:cs="仿宋_GB2312"/>
          <w:sz w:val="28"/>
          <w:szCs w:val="28"/>
        </w:rPr>
        <w:sectPr>
          <w:pgSz w:w="16838" w:h="11905" w:orient="landscape"/>
          <w:pgMar w:top="1134" w:right="1134" w:bottom="1134" w:left="1134" w:header="851" w:footer="992" w:gutter="0"/>
          <w:cols w:space="0" w:num="1"/>
          <w:docGrid w:type="lines" w:linePitch="332" w:charSpace="0"/>
        </w:sectPr>
      </w:pPr>
    </w:p>
    <w:p>
      <w:pPr>
        <w:adjustRightInd w:val="0"/>
        <w:snapToGrid w:val="0"/>
        <w:ind w:firstLine="602" w:firstLineChars="200"/>
        <w:outlineLvl w:val="0"/>
        <w:rPr>
          <w:rFonts w:ascii="黑体" w:hAnsi="黑体" w:eastAsia="黑体"/>
          <w:b/>
          <w:sz w:val="30"/>
          <w:szCs w:val="30"/>
        </w:rPr>
      </w:pPr>
      <w:bookmarkStart w:id="35" w:name="_Toc11739"/>
      <w:bookmarkStart w:id="36" w:name="_Toc13265"/>
      <w:r>
        <w:rPr>
          <w:rFonts w:hint="eastAsia" w:ascii="黑体" w:hAnsi="黑体" w:eastAsia="黑体"/>
          <w:b/>
          <w:sz w:val="30"/>
          <w:szCs w:val="30"/>
        </w:rPr>
        <w:t>五、项目结果应用情况</w:t>
      </w:r>
      <w:bookmarkEnd w:id="35"/>
      <w:bookmarkEnd w:id="36"/>
    </w:p>
    <w:p>
      <w:pPr>
        <w:keepNext w:val="0"/>
        <w:keepLines w:val="0"/>
        <w:pageBreakBefore w:val="0"/>
        <w:widowControl w:val="0"/>
        <w:kinsoku/>
        <w:wordWrap/>
        <w:overflowPunct/>
        <w:topLinePunct w:val="0"/>
        <w:autoSpaceDE/>
        <w:autoSpaceDN/>
        <w:bidi w:val="0"/>
        <w:adjustRightInd w:val="0"/>
        <w:snapToGrid w:val="0"/>
        <w:spacing w:line="600" w:lineRule="exact"/>
        <w:ind w:firstLine="561"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区农业农村委于2021年委托第三方对《闵行区美丽乡村长效管理指导意见》（闵乡村振兴办〔2018〕1号）进行政策绩效评价。</w:t>
      </w:r>
    </w:p>
    <w:p>
      <w:pPr>
        <w:keepNext w:val="0"/>
        <w:keepLines w:val="0"/>
        <w:pageBreakBefore w:val="0"/>
        <w:widowControl w:val="0"/>
        <w:kinsoku/>
        <w:wordWrap/>
        <w:overflowPunct/>
        <w:topLinePunct w:val="0"/>
        <w:autoSpaceDE/>
        <w:autoSpaceDN/>
        <w:bidi w:val="0"/>
        <w:adjustRightInd w:val="0"/>
        <w:snapToGrid w:val="0"/>
        <w:spacing w:line="600" w:lineRule="exact"/>
        <w:ind w:firstLine="561"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主要存在四方面问题，一为政策实施范围有待进一步扩大；二为资金使用范围的合理性需进一步调整；三为政策扶持力度有待进一步提高；四为考核机制的导向性仍需增强。</w:t>
      </w:r>
    </w:p>
    <w:p>
      <w:pPr>
        <w:keepNext w:val="0"/>
        <w:keepLines w:val="0"/>
        <w:pageBreakBefore w:val="0"/>
        <w:widowControl w:val="0"/>
        <w:kinsoku/>
        <w:wordWrap/>
        <w:overflowPunct/>
        <w:topLinePunct w:val="0"/>
        <w:autoSpaceDE/>
        <w:autoSpaceDN/>
        <w:bidi w:val="0"/>
        <w:adjustRightInd w:val="0"/>
        <w:snapToGrid w:val="0"/>
        <w:spacing w:line="600" w:lineRule="exact"/>
        <w:ind w:firstLine="561"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经调研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区农业农村委已进行了整改，根据问题建议扩大了政策实施范围至全区，进一步细化资金适用范围，提高扶持力度，并优化了考核机制。</w:t>
      </w:r>
    </w:p>
    <w:p>
      <w:pPr>
        <w:keepNext w:val="0"/>
        <w:keepLines w:val="0"/>
        <w:pageBreakBefore w:val="0"/>
        <w:widowControl w:val="0"/>
        <w:kinsoku/>
        <w:wordWrap/>
        <w:overflowPunct/>
        <w:topLinePunct w:val="0"/>
        <w:autoSpaceDE/>
        <w:autoSpaceDN/>
        <w:bidi w:val="0"/>
        <w:adjustRightInd w:val="0"/>
        <w:snapToGrid w:val="0"/>
        <w:spacing w:line="600" w:lineRule="exact"/>
        <w:ind w:firstLine="561" w:firstLine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561" w:firstLineChars="0"/>
        <w:jc w:val="right"/>
        <w:textAlignment w:val="auto"/>
        <w:rPr>
          <w:rFonts w:hint="eastAsia" w:ascii="仿宋_GB2312" w:hAnsi="黑体"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561" w:firstLineChars="0"/>
        <w:jc w:val="right"/>
        <w:textAlignment w:val="auto"/>
        <w:rPr>
          <w:rFonts w:hint="eastAsia" w:ascii="仿宋_GB2312" w:hAnsi="宋体" w:eastAsia="仿宋_GB2312" w:cs="宋体"/>
          <w:sz w:val="28"/>
          <w:szCs w:val="28"/>
        </w:rPr>
      </w:pPr>
      <w:bookmarkStart w:id="37" w:name="_GoBack"/>
      <w:bookmarkEnd w:id="37"/>
      <w:r>
        <w:rPr>
          <w:rFonts w:hint="eastAsia" w:ascii="仿宋_GB2312" w:hAnsi="黑体" w:eastAsia="仿宋_GB2312"/>
          <w:sz w:val="28"/>
          <w:szCs w:val="28"/>
          <w:lang w:val="en-US" w:eastAsia="zh-CN"/>
        </w:rPr>
        <w:t>2022</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12</w:t>
      </w:r>
      <w:r>
        <w:rPr>
          <w:rFonts w:hint="eastAsia" w:ascii="仿宋_GB2312" w:hAnsi="宋体" w:eastAsia="仿宋_GB2312" w:cs="宋体"/>
          <w:sz w:val="28"/>
          <w:szCs w:val="28"/>
        </w:rPr>
        <w:t>月</w:t>
      </w:r>
    </w:p>
    <w:sectPr>
      <w:footerReference r:id="rId6"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3028950</wp:posOffset>
              </wp:positionH>
              <wp:positionV relativeFrom="paragraph">
                <wp:posOffset>-1905</wp:posOffset>
              </wp:positionV>
              <wp:extent cx="175260" cy="160020"/>
              <wp:effectExtent l="0" t="0" r="15240" b="11430"/>
              <wp:wrapNone/>
              <wp:docPr id="27" name="文本框 27"/>
              <wp:cNvGraphicFramePr/>
              <a:graphic xmlns:a="http://schemas.openxmlformats.org/drawingml/2006/main">
                <a:graphicData uri="http://schemas.microsoft.com/office/word/2010/wordprocessingShape">
                  <wps:wsp>
                    <wps:cNvSpPr txBox="1"/>
                    <wps:spPr>
                      <a:xfrm>
                        <a:off x="0" y="0"/>
                        <a:ext cx="175260" cy="160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0.15pt;height:12.6pt;width:13.8pt;mso-position-horizontal-relative:margin;z-index:251659264;mso-width-relative:page;mso-height-relative:page;" filled="f" stroked="f" coordsize="21600,21600" o:gfxdata="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Waj9tgAAAAIAQAADwAAAAAAAAABACAAAAAiAAAAZHJzL2Rvd25yZXYueG1s&#10;UEsBAhQAFAAAAAgAh07iQGfWy3wxAgAAVwQAAA4AAAAAAAAAAQAgAAAAJwEAAGRycy9lMm9Eb2Mu&#10;eG1sUEsFBgAAAAAGAAYAWQEAAMoFA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0"/>
      </w:pPr>
      <w:r>
        <w:rPr>
          <w:rStyle w:val="20"/>
        </w:rPr>
        <w:footnoteRef/>
      </w:r>
      <w:r>
        <w:t xml:space="preserve"> </w:t>
      </w:r>
      <w:r>
        <w:rPr>
          <w:rFonts w:hint="eastAsia"/>
        </w:rPr>
        <w:t>嘉定区实际为农村人居环境整治工程建设奖补，而非长效管护奖补。</w:t>
      </w:r>
    </w:p>
  </w:footnote>
  <w:footnote w:id="1">
    <w:p>
      <w:pPr>
        <w:pStyle w:val="10"/>
        <w:snapToGrid w:val="0"/>
        <w:rPr>
          <w:rFonts w:hint="default" w:eastAsia="宋体"/>
          <w:lang w:val="en-US" w:eastAsia="zh-CN"/>
        </w:rPr>
      </w:pPr>
      <w:r>
        <w:rPr>
          <w:rStyle w:val="20"/>
        </w:rPr>
        <w:footnoteRef/>
      </w:r>
      <w:r>
        <w:t xml:space="preserve"> </w:t>
      </w:r>
      <w:r>
        <w:rPr>
          <w:rFonts w:hint="eastAsia"/>
          <w:lang w:eastAsia="zh-CN"/>
        </w:rPr>
        <w:t>由于政策出台时间为</w:t>
      </w:r>
      <w:r>
        <w:rPr>
          <w:rFonts w:hint="eastAsia"/>
          <w:lang w:val="en-US" w:eastAsia="zh-CN"/>
        </w:rPr>
        <w:t>2022年4月，各街镇未安排2022年街镇配套资金。</w:t>
      </w:r>
    </w:p>
  </w:footnote>
  <w:footnote w:id="2">
    <w:p>
      <w:pPr>
        <w:pStyle w:val="10"/>
      </w:pPr>
      <w:r>
        <w:rPr>
          <w:rStyle w:val="20"/>
          <w:vertAlign w:val="baseline"/>
        </w:rPr>
        <w:footnoteRef/>
      </w:r>
      <w:r>
        <w:t xml:space="preserve"> </w:t>
      </w:r>
      <w:r>
        <w:rPr>
          <w:rFonts w:hint="eastAsia"/>
        </w:rPr>
        <w:t>浦江镇建中村、知新村由于已确定动迁，预算编制时未安排相应奖励资金。</w:t>
      </w:r>
    </w:p>
  </w:footnote>
  <w:footnote w:id="3">
    <w:p>
      <w:pPr>
        <w:pStyle w:val="10"/>
      </w:pPr>
      <w:r>
        <w:rPr>
          <w:rStyle w:val="20"/>
          <w:vertAlign w:val="baseline"/>
        </w:rPr>
        <w:footnoteRef/>
      </w:r>
      <w:r>
        <w:t xml:space="preserve"> </w:t>
      </w:r>
      <w:r>
        <w:rPr>
          <w:rFonts w:hint="eastAsia"/>
        </w:rPr>
        <w:t>截至2022年9月30日。</w:t>
      </w:r>
    </w:p>
  </w:footnote>
  <w:footnote w:id="4">
    <w:p>
      <w:pPr>
        <w:pStyle w:val="10"/>
      </w:pPr>
      <w:r>
        <w:rPr>
          <w:rStyle w:val="20"/>
          <w:vertAlign w:val="baseline"/>
        </w:rPr>
        <w:footnoteRef/>
      </w:r>
      <w:r>
        <w:t xml:space="preserve"> </w:t>
      </w:r>
      <w:r>
        <w:rPr>
          <w:rFonts w:hint="eastAsia"/>
        </w:rPr>
        <w:t>截至2022年9月30日。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35085"/>
    <w:multiLevelType w:val="singleLevel"/>
    <w:tmpl w:val="C1235085"/>
    <w:lvl w:ilvl="0" w:tentative="0">
      <w:start w:val="1"/>
      <w:numFmt w:val="decimal"/>
      <w:lvlText w:val="%1."/>
      <w:lvlJc w:val="left"/>
      <w:pPr>
        <w:tabs>
          <w:tab w:val="left" w:pos="312"/>
        </w:tabs>
      </w:pPr>
    </w:lvl>
  </w:abstractNum>
  <w:abstractNum w:abstractNumId="1">
    <w:nsid w:val="5198F906"/>
    <w:multiLevelType w:val="singleLevel"/>
    <w:tmpl w:val="5198F9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wOGJlMTNkMWJkOTA1ODlmYjg0NzJjMGVjNjUzZjQifQ=="/>
  </w:docVars>
  <w:rsids>
    <w:rsidRoot w:val="00855906"/>
    <w:rsid w:val="00007D65"/>
    <w:rsid w:val="0004677B"/>
    <w:rsid w:val="001A02DA"/>
    <w:rsid w:val="001C158A"/>
    <w:rsid w:val="003510DC"/>
    <w:rsid w:val="00375E0C"/>
    <w:rsid w:val="0037714F"/>
    <w:rsid w:val="00404E94"/>
    <w:rsid w:val="004430F3"/>
    <w:rsid w:val="005E7258"/>
    <w:rsid w:val="006336D1"/>
    <w:rsid w:val="006958D1"/>
    <w:rsid w:val="006C652D"/>
    <w:rsid w:val="00796F96"/>
    <w:rsid w:val="007F7979"/>
    <w:rsid w:val="00855906"/>
    <w:rsid w:val="00931B43"/>
    <w:rsid w:val="009A1D96"/>
    <w:rsid w:val="009B07E0"/>
    <w:rsid w:val="009C5CF3"/>
    <w:rsid w:val="009F101B"/>
    <w:rsid w:val="00A85A8C"/>
    <w:rsid w:val="00B710F7"/>
    <w:rsid w:val="00D04E9C"/>
    <w:rsid w:val="00D5672C"/>
    <w:rsid w:val="00E33312"/>
    <w:rsid w:val="00EF57D9"/>
    <w:rsid w:val="01196AF1"/>
    <w:rsid w:val="039320D0"/>
    <w:rsid w:val="039A4804"/>
    <w:rsid w:val="040E1886"/>
    <w:rsid w:val="04D855C7"/>
    <w:rsid w:val="05A17A43"/>
    <w:rsid w:val="06795045"/>
    <w:rsid w:val="0A6A1B9D"/>
    <w:rsid w:val="0C656D19"/>
    <w:rsid w:val="0D006A41"/>
    <w:rsid w:val="14735A10"/>
    <w:rsid w:val="14874525"/>
    <w:rsid w:val="160D17CA"/>
    <w:rsid w:val="1A724E6B"/>
    <w:rsid w:val="1B430B6D"/>
    <w:rsid w:val="1D921088"/>
    <w:rsid w:val="1DFE6BF3"/>
    <w:rsid w:val="1EE12B4B"/>
    <w:rsid w:val="1F0839F5"/>
    <w:rsid w:val="214D0764"/>
    <w:rsid w:val="215F24CF"/>
    <w:rsid w:val="256F1E0B"/>
    <w:rsid w:val="25853736"/>
    <w:rsid w:val="27D35027"/>
    <w:rsid w:val="2A1046A7"/>
    <w:rsid w:val="2A9311E9"/>
    <w:rsid w:val="2C425BF6"/>
    <w:rsid w:val="2CF734CD"/>
    <w:rsid w:val="2DAD1E76"/>
    <w:rsid w:val="2F192343"/>
    <w:rsid w:val="30937A49"/>
    <w:rsid w:val="32254C77"/>
    <w:rsid w:val="35492DCC"/>
    <w:rsid w:val="363C78BE"/>
    <w:rsid w:val="3BAA75AB"/>
    <w:rsid w:val="3D677714"/>
    <w:rsid w:val="3DFA2145"/>
    <w:rsid w:val="3FDE40C6"/>
    <w:rsid w:val="4010414B"/>
    <w:rsid w:val="45C67B21"/>
    <w:rsid w:val="464C4B44"/>
    <w:rsid w:val="47676AC0"/>
    <w:rsid w:val="4A04175D"/>
    <w:rsid w:val="4B191B43"/>
    <w:rsid w:val="4BB2752B"/>
    <w:rsid w:val="4E5039E8"/>
    <w:rsid w:val="5131376D"/>
    <w:rsid w:val="518A6DD5"/>
    <w:rsid w:val="51E100F1"/>
    <w:rsid w:val="55474366"/>
    <w:rsid w:val="56654D3D"/>
    <w:rsid w:val="569F4060"/>
    <w:rsid w:val="591C41D0"/>
    <w:rsid w:val="5CB256E9"/>
    <w:rsid w:val="5D9F3291"/>
    <w:rsid w:val="62C45A38"/>
    <w:rsid w:val="6313040E"/>
    <w:rsid w:val="649A6347"/>
    <w:rsid w:val="66601482"/>
    <w:rsid w:val="68D231BF"/>
    <w:rsid w:val="699B0548"/>
    <w:rsid w:val="6A4B7C27"/>
    <w:rsid w:val="6A9A7781"/>
    <w:rsid w:val="6B955272"/>
    <w:rsid w:val="6CF67155"/>
    <w:rsid w:val="717E66C1"/>
    <w:rsid w:val="72356ABA"/>
    <w:rsid w:val="734F61A2"/>
    <w:rsid w:val="739B22CC"/>
    <w:rsid w:val="75E672A0"/>
    <w:rsid w:val="783F0EE9"/>
    <w:rsid w:val="789945CE"/>
    <w:rsid w:val="7A163E63"/>
    <w:rsid w:val="7EE2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adjustRightInd w:val="0"/>
      <w:snapToGrid w:val="0"/>
      <w:spacing w:line="360" w:lineRule="auto"/>
      <w:ind w:leftChars="0" w:firstLine="883" w:firstLineChars="200"/>
      <w:outlineLvl w:val="0"/>
    </w:pPr>
    <w:rPr>
      <w:rFonts w:eastAsia="仿宋_GB2312"/>
      <w:b/>
      <w:bCs/>
      <w:kern w:val="44"/>
      <w:sz w:val="28"/>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ody Text"/>
    <w:basedOn w:val="1"/>
    <w:qFormat/>
    <w:uiPriority w:val="1"/>
    <w:rPr>
      <w:rFonts w:ascii="仿宋_GB2312" w:hAnsi="仿宋_GB2312" w:eastAsia="仿宋_GB2312" w:cs="仿宋_GB2312"/>
      <w:sz w:val="30"/>
      <w:szCs w:val="30"/>
      <w:lang w:val="zh-CN" w:bidi="zh-CN"/>
    </w:rPr>
  </w:style>
  <w:style w:type="paragraph" w:styleId="6">
    <w:name w:val="Balloon Text"/>
    <w:basedOn w:val="1"/>
    <w:link w:val="28"/>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spacing w:after="100" w:line="276" w:lineRule="auto"/>
      <w:jc w:val="left"/>
    </w:pPr>
    <w:rPr>
      <w:rFonts w:ascii="Calibri" w:hAnsi="Calibri"/>
      <w:kern w:val="0"/>
      <w:sz w:val="22"/>
      <w:szCs w:val="22"/>
    </w:rPr>
  </w:style>
  <w:style w:type="paragraph" w:styleId="10">
    <w:name w:val="footnote text"/>
    <w:basedOn w:val="1"/>
    <w:link w:val="25"/>
    <w:qFormat/>
    <w:uiPriority w:val="99"/>
    <w:pPr>
      <w:snapToGrid w:val="0"/>
      <w:jc w:val="left"/>
    </w:pPr>
    <w:rPr>
      <w:sz w:val="18"/>
      <w:szCs w:val="18"/>
    </w:rPr>
  </w:style>
  <w:style w:type="paragraph" w:styleId="11">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4"/>
    <w:next w:val="4"/>
    <w:link w:val="27"/>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character" w:styleId="20">
    <w:name w:val="footnote reference"/>
    <w:basedOn w:val="16"/>
    <w:qFormat/>
    <w:uiPriority w:val="99"/>
    <w:rPr>
      <w:vertAlign w:val="superscript"/>
    </w:rPr>
  </w:style>
  <w:style w:type="character" w:customStyle="1" w:styleId="21">
    <w:name w:val="标题 1 字符"/>
    <w:basedOn w:val="16"/>
    <w:link w:val="2"/>
    <w:qFormat/>
    <w:uiPriority w:val="0"/>
    <w:rPr>
      <w:rFonts w:ascii="Times New Roman" w:hAnsi="Times New Roman" w:eastAsia="仿宋_GB2312"/>
      <w:b/>
      <w:bCs/>
      <w:kern w:val="44"/>
      <w:sz w:val="28"/>
      <w:szCs w:val="44"/>
    </w:rPr>
  </w:style>
  <w:style w:type="character" w:customStyle="1" w:styleId="22">
    <w:name w:val="页眉 字符"/>
    <w:link w:val="8"/>
    <w:qFormat/>
    <w:uiPriority w:val="99"/>
    <w:rPr>
      <w:kern w:val="2"/>
      <w:sz w:val="18"/>
      <w:szCs w:val="18"/>
    </w:rPr>
  </w:style>
  <w:style w:type="character" w:customStyle="1" w:styleId="23">
    <w:name w:val="页脚 字符"/>
    <w:link w:val="7"/>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character" w:customStyle="1" w:styleId="25">
    <w:name w:val="脚注文本 字符"/>
    <w:basedOn w:val="16"/>
    <w:link w:val="10"/>
    <w:qFormat/>
    <w:uiPriority w:val="99"/>
    <w:rPr>
      <w:kern w:val="2"/>
      <w:sz w:val="18"/>
      <w:szCs w:val="18"/>
    </w:rPr>
  </w:style>
  <w:style w:type="character" w:customStyle="1" w:styleId="26">
    <w:name w:val="批注文字 字符"/>
    <w:basedOn w:val="16"/>
    <w:link w:val="4"/>
    <w:qFormat/>
    <w:uiPriority w:val="0"/>
    <w:rPr>
      <w:kern w:val="2"/>
      <w:sz w:val="21"/>
      <w:szCs w:val="24"/>
    </w:rPr>
  </w:style>
  <w:style w:type="character" w:customStyle="1" w:styleId="27">
    <w:name w:val="批注主题 字符"/>
    <w:basedOn w:val="26"/>
    <w:link w:val="13"/>
    <w:qFormat/>
    <w:uiPriority w:val="0"/>
    <w:rPr>
      <w:b/>
      <w:bCs/>
      <w:kern w:val="2"/>
      <w:sz w:val="21"/>
      <w:szCs w:val="24"/>
    </w:rPr>
  </w:style>
  <w:style w:type="character" w:customStyle="1" w:styleId="28">
    <w:name w:val="批注框文本 字符"/>
    <w:basedOn w:val="16"/>
    <w:link w:val="6"/>
    <w:qFormat/>
    <w:uiPriority w:val="0"/>
    <w:rPr>
      <w:kern w:val="2"/>
      <w:sz w:val="18"/>
      <w:szCs w:val="18"/>
    </w:rPr>
  </w:style>
  <w:style w:type="character" w:customStyle="1" w:styleId="29">
    <w:name w:val="font71"/>
    <w:basedOn w:val="16"/>
    <w:qFormat/>
    <w:uiPriority w:val="0"/>
    <w:rPr>
      <w:rFonts w:hint="eastAsia" w:ascii="宋体" w:hAnsi="宋体" w:eastAsia="宋体" w:cs="宋体"/>
      <w:b/>
      <w:color w:val="000000"/>
      <w:sz w:val="36"/>
      <w:szCs w:val="36"/>
      <w:u w:val="none"/>
    </w:rPr>
  </w:style>
  <w:style w:type="character" w:customStyle="1" w:styleId="30">
    <w:name w:val="font61"/>
    <w:basedOn w:val="16"/>
    <w:qFormat/>
    <w:uiPriority w:val="0"/>
    <w:rPr>
      <w:rFonts w:ascii="楷体_GB2312" w:eastAsia="楷体_GB2312" w:cs="楷体_GB2312"/>
      <w:b/>
      <w:color w:val="000000"/>
      <w:sz w:val="36"/>
      <w:szCs w:val="36"/>
      <w:u w:val="none"/>
    </w:rPr>
  </w:style>
  <w:style w:type="character" w:customStyle="1" w:styleId="31">
    <w:name w:val="font31"/>
    <w:basedOn w:val="16"/>
    <w:qFormat/>
    <w:uiPriority w:val="0"/>
    <w:rPr>
      <w:rFonts w:hint="eastAsia" w:ascii="宋体" w:hAnsi="宋体" w:eastAsia="宋体" w:cs="宋体"/>
      <w:color w:val="000000"/>
      <w:sz w:val="20"/>
      <w:szCs w:val="20"/>
      <w:u w:val="none"/>
    </w:rPr>
  </w:style>
  <w:style w:type="character" w:customStyle="1" w:styleId="32">
    <w:name w:val="font41"/>
    <w:basedOn w:val="16"/>
    <w:qFormat/>
    <w:uiPriority w:val="0"/>
    <w:rPr>
      <w:rFonts w:hint="default" w:ascii="Times New Roman" w:hAnsi="Times New Roman" w:cs="Times New Roman"/>
      <w:color w:val="000000"/>
      <w:sz w:val="20"/>
      <w:szCs w:val="20"/>
      <w:u w:val="none"/>
    </w:rPr>
  </w:style>
  <w:style w:type="character" w:customStyle="1" w:styleId="33">
    <w:name w:val="font01"/>
    <w:basedOn w:val="16"/>
    <w:qFormat/>
    <w:uiPriority w:val="0"/>
    <w:rPr>
      <w:rFonts w:ascii="楷体_GB2312" w:eastAsia="楷体_GB2312" w:cs="楷体_GB2312"/>
      <w:b/>
      <w:color w:val="000000"/>
      <w:sz w:val="36"/>
      <w:szCs w:val="36"/>
      <w:u w:val="none"/>
    </w:rPr>
  </w:style>
  <w:style w:type="character" w:customStyle="1" w:styleId="34">
    <w:name w:val="font81"/>
    <w:basedOn w:val="16"/>
    <w:qFormat/>
    <w:uiPriority w:val="0"/>
    <w:rPr>
      <w:rFonts w:hint="eastAsia" w:ascii="宋体" w:hAnsi="宋体" w:eastAsia="宋体" w:cs="宋体"/>
      <w:b/>
      <w:color w:val="000000"/>
      <w:sz w:val="28"/>
      <w:szCs w:val="28"/>
      <w:u w:val="none"/>
    </w:rPr>
  </w:style>
  <w:style w:type="character" w:customStyle="1" w:styleId="35">
    <w:name w:val="font11"/>
    <w:basedOn w:val="16"/>
    <w:qFormat/>
    <w:uiPriority w:val="0"/>
    <w:rPr>
      <w:rFonts w:hint="eastAsia" w:ascii="宋体" w:hAnsi="宋体" w:eastAsia="宋体" w:cs="宋体"/>
      <w:color w:val="000000"/>
      <w:sz w:val="20"/>
      <w:szCs w:val="20"/>
      <w:u w:val="none"/>
    </w:rPr>
  </w:style>
  <w:style w:type="character" w:customStyle="1" w:styleId="36">
    <w:name w:val="font21"/>
    <w:basedOn w:val="16"/>
    <w:qFormat/>
    <w:uiPriority w:val="0"/>
    <w:rPr>
      <w:rFonts w:hint="eastAsia" w:ascii="宋体" w:hAnsi="宋体" w:eastAsia="宋体" w:cs="宋体"/>
      <w:color w:val="000000"/>
      <w:sz w:val="20"/>
      <w:szCs w:val="20"/>
      <w:u w:val="none"/>
    </w:rPr>
  </w:style>
  <w:style w:type="character" w:customStyle="1" w:styleId="37">
    <w:name w:val="font91"/>
    <w:basedOn w:val="16"/>
    <w:qFormat/>
    <w:uiPriority w:val="0"/>
    <w:rPr>
      <w:rFonts w:hint="eastAsia" w:ascii="宋体" w:hAnsi="宋体" w:eastAsia="宋体" w:cs="宋体"/>
      <w:color w:val="FF0000"/>
      <w:sz w:val="20"/>
      <w:szCs w:val="20"/>
      <w:u w:val="none"/>
    </w:rPr>
  </w:style>
  <w:style w:type="character" w:customStyle="1" w:styleId="38">
    <w:name w:val="font132"/>
    <w:basedOn w:val="16"/>
    <w:qFormat/>
    <w:uiPriority w:val="0"/>
    <w:rPr>
      <w:rFonts w:hint="eastAsia" w:ascii="宋体" w:hAnsi="宋体" w:eastAsia="宋体" w:cs="宋体"/>
      <w:color w:val="000000"/>
      <w:sz w:val="20"/>
      <w:szCs w:val="20"/>
      <w:u w:val="single"/>
    </w:rPr>
  </w:style>
  <w:style w:type="character" w:customStyle="1" w:styleId="39">
    <w:name w:val="font131"/>
    <w:basedOn w:val="16"/>
    <w:qFormat/>
    <w:uiPriority w:val="0"/>
    <w:rPr>
      <w:rFonts w:hint="eastAsia" w:ascii="宋体" w:hAnsi="宋体" w:eastAsia="宋体" w:cs="宋体"/>
      <w:color w:val="000000"/>
      <w:sz w:val="20"/>
      <w:szCs w:val="20"/>
      <w:u w:val="single"/>
    </w:rPr>
  </w:style>
  <w:style w:type="character" w:customStyle="1" w:styleId="40">
    <w:name w:val="font121"/>
    <w:basedOn w:val="16"/>
    <w:qFormat/>
    <w:uiPriority w:val="0"/>
    <w:rPr>
      <w:rFonts w:hint="eastAsia" w:ascii="宋体" w:hAnsi="宋体" w:eastAsia="宋体" w:cs="宋体"/>
      <w:color w:val="000000"/>
      <w:sz w:val="20"/>
      <w:szCs w:val="20"/>
      <w:u w:val="single"/>
    </w:rPr>
  </w:style>
  <w:style w:type="character" w:customStyle="1" w:styleId="41">
    <w:name w:val="font122"/>
    <w:basedOn w:val="16"/>
    <w:qFormat/>
    <w:uiPriority w:val="0"/>
    <w:rPr>
      <w:rFonts w:hint="eastAsia" w:ascii="宋体" w:hAnsi="宋体" w:eastAsia="宋体" w:cs="宋体"/>
      <w:color w:val="000000"/>
      <w:sz w:val="20"/>
      <w:szCs w:val="20"/>
      <w:u w:val="single"/>
    </w:rPr>
  </w:style>
  <w:style w:type="table" w:customStyle="1" w:styleId="42">
    <w:name w:val="Table Normal"/>
    <w:qFormat/>
    <w:uiPriority w:val="0"/>
    <w:tblPr>
      <w:tblCellMar>
        <w:top w:w="0" w:type="dxa"/>
        <w:left w:w="0" w:type="dxa"/>
        <w:bottom w:w="0" w:type="dxa"/>
        <w:right w:w="0" w:type="dxa"/>
      </w:tblCellMar>
    </w:tblPr>
  </w:style>
  <w:style w:type="paragraph" w:customStyle="1" w:styleId="43">
    <w:name w:val="Table Paragraph"/>
    <w:basedOn w:val="1"/>
    <w:qFormat/>
    <w:uiPriority w:val="1"/>
    <w:rPr>
      <w:rFonts w:ascii="仿宋_GB2312" w:hAnsi="仿宋_GB2312" w:eastAsia="仿宋_GB2312" w:cs="仿宋_GB2312"/>
      <w:lang w:val="zh-CN" w:bidi="zh-CN"/>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B00FD-3E92-4C37-BA8A-87E84636E2DF}">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34</Pages>
  <Words>19479</Words>
  <Characters>22937</Characters>
  <Lines>736</Lines>
  <Paragraphs>207</Paragraphs>
  <TotalTime>46</TotalTime>
  <ScaleCrop>false</ScaleCrop>
  <LinksUpToDate>false</LinksUpToDate>
  <CharactersWithSpaces>23017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2022-11-14T08:26:00Z</dcterms:created>
  <dc:creator>yangming</dc:creator>
  <cp:lastModifiedBy>hexuefei</cp:lastModifiedBy>
  <cp:lastPrinted>2022-12-19T08:09:47Z</cp:lastPrinted>
  <dcterms:modified xsi:type="dcterms:W3CDTF">2022-12-19T08:09:58Z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5772410888AE4A2F87DA25B692321F53</vt:lpwstr>
  </property>
</Properties>
</file>