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黑体" w:hAnsi="黑体" w:eastAsia="黑体"/>
          <w:sz w:val="52"/>
          <w:szCs w:val="52"/>
        </w:rPr>
      </w:pPr>
      <w:r>
        <w:rPr>
          <w:rFonts w:hint="eastAsia" w:ascii="黑体" w:hAnsi="黑体" w:eastAsia="黑体"/>
          <w:sz w:val="52"/>
          <w:szCs w:val="52"/>
        </w:rPr>
        <w:t xml:space="preserve"> </w:t>
      </w:r>
    </w:p>
    <w:p>
      <w:pPr>
        <w:spacing w:line="360" w:lineRule="auto"/>
        <w:jc w:val="center"/>
        <w:rPr>
          <w:rFonts w:ascii="黑体" w:hAnsi="黑体" w:eastAsia="黑体"/>
          <w:color w:val="FF0000"/>
          <w:sz w:val="52"/>
          <w:szCs w:val="52"/>
        </w:rPr>
      </w:pPr>
    </w:p>
    <w:p>
      <w:pPr>
        <w:spacing w:line="360" w:lineRule="auto"/>
        <w:jc w:val="center"/>
        <w:rPr>
          <w:rFonts w:ascii="黑体" w:hAnsi="黑体" w:eastAsia="黑体"/>
          <w:b/>
          <w:sz w:val="52"/>
          <w:szCs w:val="52"/>
        </w:rPr>
      </w:pPr>
      <w:r>
        <w:rPr>
          <w:rFonts w:hint="eastAsia" w:ascii="黑体" w:hAnsi="黑体" w:eastAsia="黑体"/>
          <w:b/>
          <w:sz w:val="52"/>
          <w:szCs w:val="52"/>
        </w:rPr>
        <w:t>闵行区人力资源和社会保障局</w:t>
      </w:r>
    </w:p>
    <w:p>
      <w:pPr>
        <w:spacing w:line="360" w:lineRule="auto"/>
        <w:jc w:val="center"/>
        <w:rPr>
          <w:rFonts w:ascii="黑体" w:hAnsi="黑体" w:eastAsia="黑体"/>
          <w:b/>
          <w:sz w:val="52"/>
          <w:szCs w:val="52"/>
        </w:rPr>
      </w:pPr>
      <w:r>
        <w:rPr>
          <w:rFonts w:hint="eastAsia" w:ascii="黑体" w:hAnsi="黑体" w:eastAsia="黑体"/>
          <w:b/>
          <w:sz w:val="52"/>
          <w:szCs w:val="52"/>
        </w:rPr>
        <w:t>线上培训补贴项目</w:t>
      </w:r>
    </w:p>
    <w:p>
      <w:pPr>
        <w:spacing w:line="360" w:lineRule="auto"/>
        <w:jc w:val="center"/>
        <w:rPr>
          <w:rFonts w:ascii="黑体" w:hAnsi="黑体" w:eastAsia="黑体"/>
          <w:b/>
          <w:sz w:val="44"/>
          <w:szCs w:val="44"/>
        </w:rPr>
      </w:pPr>
      <w:r>
        <w:rPr>
          <w:rFonts w:hint="eastAsia" w:ascii="黑体" w:hAnsi="黑体" w:eastAsia="黑体"/>
          <w:b/>
          <w:sz w:val="52"/>
          <w:szCs w:val="52"/>
        </w:rPr>
        <w:t>评审报告</w:t>
      </w:r>
    </w:p>
    <w:p>
      <w:pPr>
        <w:spacing w:line="360" w:lineRule="auto"/>
        <w:jc w:val="center"/>
        <w:rPr>
          <w:rFonts w:ascii="黑体" w:hAnsi="黑体" w:eastAsia="黑体"/>
          <w:b/>
          <w:sz w:val="52"/>
          <w:szCs w:val="52"/>
        </w:rPr>
      </w:pPr>
      <w:r>
        <w:rPr>
          <w:rFonts w:hint="eastAsia" w:ascii="黑体" w:hAnsi="黑体" w:eastAsia="黑体"/>
          <w:b/>
          <w:sz w:val="52"/>
          <w:szCs w:val="52"/>
        </w:rPr>
        <w:t>（2023年度）</w:t>
      </w:r>
    </w:p>
    <w:p>
      <w:pPr>
        <w:spacing w:line="1000" w:lineRule="exact"/>
        <w:jc w:val="center"/>
        <w:rPr>
          <w:rFonts w:ascii="黑体" w:hAnsi="黑体" w:eastAsia="黑体"/>
          <w:sz w:val="52"/>
          <w:szCs w:val="52"/>
        </w:rPr>
      </w:pPr>
    </w:p>
    <w:p>
      <w:pPr>
        <w:spacing w:line="1000" w:lineRule="exact"/>
        <w:jc w:val="center"/>
        <w:rPr>
          <w:rFonts w:ascii="黑体" w:hAnsi="黑体" w:eastAsia="黑体"/>
          <w:sz w:val="52"/>
          <w:szCs w:val="52"/>
        </w:rPr>
      </w:pPr>
    </w:p>
    <w:p>
      <w:pPr>
        <w:spacing w:line="1000" w:lineRule="exact"/>
        <w:jc w:val="center"/>
        <w:rPr>
          <w:rFonts w:ascii="黑体" w:hAnsi="黑体" w:eastAsia="黑体"/>
          <w:sz w:val="52"/>
          <w:szCs w:val="52"/>
        </w:rPr>
      </w:pPr>
    </w:p>
    <w:p>
      <w:pPr>
        <w:ind w:firstLine="1920" w:firstLineChars="600"/>
        <w:jc w:val="left"/>
        <w:rPr>
          <w:rFonts w:ascii="黑体" w:hAnsi="黑体" w:eastAsia="黑体"/>
          <w:color w:val="FF0000"/>
          <w:sz w:val="32"/>
          <w:szCs w:val="32"/>
        </w:rPr>
      </w:pPr>
    </w:p>
    <w:p>
      <w:pPr>
        <w:ind w:firstLine="1920" w:firstLineChars="600"/>
        <w:jc w:val="left"/>
        <w:rPr>
          <w:rFonts w:ascii="黑体" w:hAnsi="黑体" w:eastAsia="黑体"/>
          <w:sz w:val="32"/>
          <w:szCs w:val="32"/>
        </w:rPr>
      </w:pPr>
      <w:r>
        <w:rPr>
          <w:rFonts w:hint="eastAsia" w:ascii="黑体" w:hAnsi="黑体" w:eastAsia="黑体"/>
          <w:sz w:val="32"/>
          <w:szCs w:val="32"/>
        </w:rPr>
        <w:t>项目名称：线上培训补贴项目</w:t>
      </w:r>
    </w:p>
    <w:p>
      <w:pPr>
        <w:ind w:firstLine="1920" w:firstLineChars="600"/>
        <w:jc w:val="left"/>
        <w:rPr>
          <w:rFonts w:ascii="黑体" w:hAnsi="黑体" w:eastAsia="黑体"/>
          <w:sz w:val="32"/>
          <w:szCs w:val="32"/>
        </w:rPr>
      </w:pPr>
      <w:r>
        <w:rPr>
          <w:rFonts w:hint="eastAsia" w:ascii="黑体" w:hAnsi="黑体" w:eastAsia="黑体"/>
          <w:sz w:val="32"/>
          <w:szCs w:val="32"/>
        </w:rPr>
        <w:t>项目单位：闵行区就业促进中心</w:t>
      </w:r>
    </w:p>
    <w:p>
      <w:pPr>
        <w:ind w:firstLine="1920" w:firstLineChars="600"/>
        <w:jc w:val="left"/>
        <w:rPr>
          <w:rFonts w:ascii="黑体" w:hAnsi="黑体" w:eastAsia="黑体"/>
          <w:sz w:val="32"/>
          <w:szCs w:val="32"/>
        </w:rPr>
      </w:pPr>
      <w:r>
        <w:rPr>
          <w:rFonts w:hint="eastAsia" w:ascii="黑体" w:hAnsi="黑体" w:eastAsia="黑体"/>
          <w:sz w:val="32"/>
          <w:szCs w:val="32"/>
        </w:rPr>
        <w:t>主管部门：闵行区人力资源和社会保障局</w:t>
      </w:r>
    </w:p>
    <w:p>
      <w:pPr>
        <w:jc w:val="center"/>
        <w:rPr>
          <w:rFonts w:ascii="黑体" w:hAnsi="黑体" w:eastAsia="黑体"/>
          <w:color w:val="FF0000"/>
          <w:sz w:val="32"/>
          <w:szCs w:val="32"/>
        </w:rPr>
      </w:pPr>
    </w:p>
    <w:p>
      <w:pPr>
        <w:jc w:val="center"/>
        <w:rPr>
          <w:rFonts w:ascii="黑体" w:hAnsi="黑体" w:eastAsia="黑体"/>
          <w:color w:val="FF0000"/>
          <w:sz w:val="32"/>
          <w:szCs w:val="32"/>
        </w:rPr>
      </w:pPr>
    </w:p>
    <w:p>
      <w:pPr>
        <w:jc w:val="center"/>
        <w:rPr>
          <w:rFonts w:ascii="黑体" w:hAnsi="黑体" w:eastAsia="黑体"/>
          <w:color w:val="FF0000"/>
          <w:sz w:val="32"/>
          <w:szCs w:val="32"/>
        </w:rPr>
      </w:pPr>
    </w:p>
    <w:p>
      <w:pPr>
        <w:jc w:val="center"/>
        <w:rPr>
          <w:rFonts w:ascii="黑体" w:hAnsi="黑体" w:eastAsia="黑体"/>
          <w:sz w:val="36"/>
          <w:szCs w:val="36"/>
        </w:rPr>
      </w:pPr>
      <w:r>
        <w:rPr>
          <w:rFonts w:hint="eastAsia" w:ascii="黑体" w:hAnsi="黑体" w:eastAsia="黑体"/>
          <w:sz w:val="36"/>
          <w:szCs w:val="36"/>
        </w:rPr>
        <w:t>2022年12月</w:t>
      </w:r>
    </w:p>
    <w:p/>
    <w:sdt>
      <w:sdtPr>
        <w:rPr>
          <w:rFonts w:ascii="黑体" w:hAnsi="黑体" w:eastAsia="黑体" w:cstheme="minorBidi"/>
          <w:b/>
          <w:bCs/>
          <w:kern w:val="0"/>
          <w:sz w:val="28"/>
          <w:szCs w:val="22"/>
          <w:lang w:val="zh-CN"/>
        </w:rPr>
        <w:id w:val="-1644726932"/>
        <w:docPartObj>
          <w:docPartGallery w:val="Table of Contents"/>
          <w:docPartUnique/>
        </w:docPartObj>
      </w:sdtPr>
      <w:sdtEndPr>
        <w:rPr>
          <w:rFonts w:ascii="黑体" w:hAnsi="黑体" w:eastAsia="黑体" w:cstheme="minorBidi"/>
          <w:b/>
          <w:bCs/>
          <w:kern w:val="0"/>
          <w:sz w:val="28"/>
          <w:szCs w:val="22"/>
          <w:lang w:val="zh-CN"/>
        </w:rPr>
      </w:sdtEndPr>
      <w:sdtContent>
        <w:p>
          <w:pPr>
            <w:jc w:val="center"/>
            <w:rPr>
              <w:sz w:val="40"/>
            </w:rPr>
          </w:pPr>
          <w:r>
            <w:rPr>
              <w:rFonts w:ascii="Arial" w:hAnsi="Arial" w:eastAsia="黑体" w:cs="Arial"/>
              <w:b/>
              <w:color w:val="000000"/>
              <w:sz w:val="32"/>
              <w:szCs w:val="40"/>
              <w:lang w:val="zh-CN"/>
            </w:rPr>
            <w:t>目 录</w:t>
          </w:r>
        </w:p>
        <w:p>
          <w:pPr>
            <w:pStyle w:val="10"/>
            <w:spacing w:line="240" w:lineRule="auto"/>
            <w:rPr>
              <w:b w:val="0"/>
              <w:bCs w:val="0"/>
            </w:rPr>
          </w:pPr>
          <w:r>
            <w:rPr>
              <w:rFonts w:hint="eastAsia"/>
              <w:b w:val="0"/>
              <w:bCs w:val="0"/>
            </w:rPr>
            <w:t>一、项目概况</w:t>
          </w:r>
          <w:r>
            <w:rPr>
              <w:b w:val="0"/>
              <w:bCs w:val="0"/>
            </w:rPr>
            <w:ptab w:relativeTo="margin" w:alignment="right" w:leader="dot"/>
          </w:r>
          <w:r>
            <w:rPr>
              <w:b w:val="0"/>
              <w:bCs w:val="0"/>
              <w:lang w:val="zh-CN"/>
            </w:rPr>
            <w:t>1</w:t>
          </w:r>
        </w:p>
        <w:p>
          <w:pPr>
            <w:pStyle w:val="11"/>
            <w:spacing w:line="240" w:lineRule="auto"/>
            <w:ind w:left="215"/>
            <w:rPr>
              <w:rFonts w:ascii="仿宋" w:hAnsi="仿宋" w:eastAsia="仿宋" w:cs="仿宋"/>
              <w:sz w:val="28"/>
              <w:lang w:val="zh-CN"/>
            </w:rPr>
          </w:pPr>
          <w:r>
            <w:rPr>
              <w:rFonts w:hint="eastAsia" w:ascii="仿宋" w:hAnsi="仿宋" w:eastAsia="仿宋" w:cs="仿宋"/>
              <w:sz w:val="28"/>
            </w:rPr>
            <w:t>（一）项目背景</w:t>
          </w:r>
          <w:r>
            <w:rPr>
              <w:rFonts w:hint="eastAsia" w:ascii="仿宋" w:hAnsi="仿宋" w:eastAsia="仿宋" w:cs="仿宋"/>
              <w:sz w:val="28"/>
            </w:rPr>
            <w:ptab w:relativeTo="margin" w:alignment="right" w:leader="dot"/>
          </w:r>
          <w:r>
            <w:rPr>
              <w:rFonts w:hint="eastAsia" w:ascii="仿宋" w:hAnsi="仿宋" w:eastAsia="仿宋" w:cs="仿宋"/>
              <w:sz w:val="28"/>
              <w:lang w:val="zh-CN"/>
            </w:rPr>
            <w:t>1</w:t>
          </w:r>
        </w:p>
        <w:p>
          <w:pPr>
            <w:pStyle w:val="11"/>
            <w:spacing w:line="240" w:lineRule="auto"/>
            <w:ind w:left="215"/>
            <w:rPr>
              <w:rFonts w:ascii="仿宋" w:hAnsi="仿宋" w:eastAsia="仿宋" w:cs="仿宋"/>
              <w:sz w:val="28"/>
            </w:rPr>
          </w:pPr>
          <w:r>
            <w:rPr>
              <w:rFonts w:hint="eastAsia" w:ascii="仿宋" w:hAnsi="仿宋" w:eastAsia="仿宋" w:cs="仿宋"/>
              <w:sz w:val="28"/>
            </w:rPr>
            <w:t>（二）项目内容</w:t>
          </w:r>
          <w:r>
            <w:rPr>
              <w:rFonts w:hint="eastAsia" w:ascii="仿宋" w:hAnsi="仿宋" w:eastAsia="仿宋" w:cs="仿宋"/>
              <w:sz w:val="28"/>
            </w:rPr>
            <w:ptab w:relativeTo="margin" w:alignment="right" w:leader="dot"/>
          </w:r>
          <w:r>
            <w:rPr>
              <w:rFonts w:hint="eastAsia" w:ascii="仿宋" w:hAnsi="仿宋" w:eastAsia="仿宋" w:cs="仿宋"/>
              <w:sz w:val="28"/>
              <w:lang w:val="zh-CN"/>
            </w:rPr>
            <w:t>3</w:t>
          </w:r>
        </w:p>
        <w:p>
          <w:pPr>
            <w:pStyle w:val="11"/>
            <w:spacing w:line="240" w:lineRule="auto"/>
            <w:ind w:left="215"/>
            <w:rPr>
              <w:rFonts w:ascii="仿宋" w:hAnsi="仿宋" w:eastAsia="仿宋" w:cs="仿宋"/>
              <w:sz w:val="28"/>
            </w:rPr>
          </w:pPr>
          <w:r>
            <w:rPr>
              <w:rFonts w:hint="eastAsia" w:ascii="仿宋" w:hAnsi="仿宋" w:eastAsia="仿宋" w:cs="仿宋"/>
              <w:sz w:val="28"/>
            </w:rPr>
            <w:t>（三）项目预算</w:t>
          </w:r>
          <w:r>
            <w:rPr>
              <w:rFonts w:hint="eastAsia" w:ascii="仿宋" w:hAnsi="仿宋" w:eastAsia="仿宋" w:cs="仿宋"/>
              <w:sz w:val="28"/>
            </w:rPr>
            <w:ptab w:relativeTo="margin" w:alignment="right" w:leader="dot"/>
          </w:r>
          <w:r>
            <w:rPr>
              <w:rFonts w:hint="eastAsia" w:ascii="仿宋" w:hAnsi="仿宋" w:eastAsia="仿宋" w:cs="仿宋"/>
              <w:sz w:val="28"/>
              <w:lang w:val="zh-CN"/>
            </w:rPr>
            <w:t>6</w:t>
          </w:r>
        </w:p>
        <w:p>
          <w:pPr>
            <w:pStyle w:val="11"/>
            <w:spacing w:line="240" w:lineRule="auto"/>
            <w:ind w:left="215"/>
            <w:rPr>
              <w:rFonts w:ascii="仿宋" w:hAnsi="仿宋" w:eastAsia="仿宋" w:cs="仿宋"/>
              <w:sz w:val="28"/>
            </w:rPr>
          </w:pPr>
          <w:r>
            <w:rPr>
              <w:rFonts w:hint="eastAsia" w:ascii="仿宋" w:hAnsi="仿宋" w:eastAsia="仿宋" w:cs="仿宋"/>
              <w:sz w:val="28"/>
            </w:rPr>
            <w:t>（四）绩效目标</w:t>
          </w:r>
          <w:r>
            <w:rPr>
              <w:rFonts w:hint="eastAsia" w:ascii="仿宋" w:hAnsi="仿宋" w:eastAsia="仿宋" w:cs="仿宋"/>
              <w:sz w:val="28"/>
            </w:rPr>
            <w:ptab w:relativeTo="margin" w:alignment="right" w:leader="dot"/>
          </w:r>
          <w:r>
            <w:rPr>
              <w:rFonts w:hint="eastAsia" w:ascii="仿宋" w:hAnsi="仿宋" w:eastAsia="仿宋" w:cs="仿宋"/>
              <w:sz w:val="28"/>
              <w:lang w:val="zh-CN"/>
            </w:rPr>
            <w:t>10</w:t>
          </w:r>
        </w:p>
        <w:p>
          <w:pPr>
            <w:pStyle w:val="10"/>
            <w:spacing w:line="240" w:lineRule="auto"/>
            <w:rPr>
              <w:b w:val="0"/>
              <w:bCs w:val="0"/>
            </w:rPr>
          </w:pPr>
          <w:r>
            <w:rPr>
              <w:rFonts w:hint="eastAsia"/>
              <w:b w:val="0"/>
              <w:bCs w:val="0"/>
            </w:rPr>
            <w:t>二、项目评审情况</w:t>
          </w:r>
          <w:r>
            <w:rPr>
              <w:b w:val="0"/>
              <w:bCs w:val="0"/>
            </w:rPr>
            <w:ptab w:relativeTo="margin" w:alignment="right" w:leader="dot"/>
          </w:r>
          <w:r>
            <w:rPr>
              <w:rFonts w:hint="eastAsia"/>
              <w:b w:val="0"/>
              <w:bCs w:val="0"/>
              <w:lang w:val="zh-CN"/>
            </w:rPr>
            <w:t>13</w:t>
          </w:r>
        </w:p>
        <w:p>
          <w:pPr>
            <w:pStyle w:val="10"/>
            <w:spacing w:line="240" w:lineRule="auto"/>
            <w:rPr>
              <w:b w:val="0"/>
              <w:bCs w:val="0"/>
            </w:rPr>
          </w:pPr>
          <w:r>
            <w:rPr>
              <w:rFonts w:hint="eastAsia"/>
              <w:b w:val="0"/>
              <w:bCs w:val="0"/>
            </w:rPr>
            <w:t>三、项目存在问题与改进建议</w:t>
          </w:r>
          <w:r>
            <w:rPr>
              <w:b w:val="0"/>
              <w:bCs w:val="0"/>
            </w:rPr>
            <w:ptab w:relativeTo="margin" w:alignment="right" w:leader="dot"/>
          </w:r>
          <w:r>
            <w:rPr>
              <w:rFonts w:hint="eastAsia"/>
              <w:b w:val="0"/>
              <w:bCs w:val="0"/>
              <w:lang w:val="zh-CN"/>
            </w:rPr>
            <w:t>14</w:t>
          </w:r>
        </w:p>
        <w:p>
          <w:pPr>
            <w:pStyle w:val="10"/>
            <w:spacing w:line="240" w:lineRule="auto"/>
            <w:rPr>
              <w:b w:val="0"/>
              <w:bCs w:val="0"/>
            </w:rPr>
          </w:pPr>
          <w:r>
            <w:rPr>
              <w:rFonts w:hint="eastAsia"/>
              <w:b w:val="0"/>
              <w:bCs w:val="0"/>
            </w:rPr>
            <w:t>四、项目预算审核意见</w:t>
          </w:r>
          <w:r>
            <w:rPr>
              <w:b w:val="0"/>
              <w:bCs w:val="0"/>
            </w:rPr>
            <w:ptab w:relativeTo="margin" w:alignment="right" w:leader="dot"/>
          </w:r>
          <w:r>
            <w:rPr>
              <w:rFonts w:hint="eastAsia"/>
              <w:b w:val="0"/>
              <w:bCs w:val="0"/>
              <w:lang w:val="zh-CN"/>
            </w:rPr>
            <w:t>16</w:t>
          </w:r>
        </w:p>
        <w:p>
          <w:pPr>
            <w:pStyle w:val="10"/>
          </w:pPr>
        </w:p>
      </w:sdtContent>
    </w:sdt>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pStyle w:val="2"/>
        <w:spacing w:line="600" w:lineRule="exact"/>
        <w:ind w:firstLine="600"/>
        <w:sectPr>
          <w:footerReference r:id="rId3" w:type="default"/>
          <w:pgSz w:w="11906" w:h="16838"/>
          <w:pgMar w:top="1440" w:right="1800" w:bottom="1440" w:left="1800" w:header="851" w:footer="992" w:gutter="0"/>
          <w:cols w:space="425" w:num="1"/>
          <w:docGrid w:type="lines" w:linePitch="312" w:charSpace="0"/>
        </w:sectPr>
      </w:pPr>
      <w:bookmarkStart w:id="0" w:name="_Toc54889741"/>
    </w:p>
    <w:p>
      <w:pPr>
        <w:jc w:val="center"/>
        <w:rPr>
          <w:rFonts w:ascii="黑体" w:hAnsi="黑体" w:eastAsia="黑体"/>
          <w:sz w:val="36"/>
          <w:szCs w:val="36"/>
        </w:rPr>
      </w:pPr>
      <w:r>
        <w:rPr>
          <w:rFonts w:hint="eastAsia" w:ascii="黑体" w:hAnsi="黑体" w:eastAsia="黑体"/>
          <w:sz w:val="36"/>
          <w:szCs w:val="36"/>
        </w:rPr>
        <w:t>“线上培训补贴”项目评审报告</w:t>
      </w:r>
    </w:p>
    <w:p>
      <w:pPr>
        <w:jc w:val="center"/>
        <w:rPr>
          <w:rFonts w:ascii="黑体" w:hAnsi="黑体" w:eastAsia="黑体"/>
          <w:sz w:val="36"/>
          <w:szCs w:val="36"/>
        </w:rPr>
      </w:pPr>
    </w:p>
    <w:p>
      <w:pPr>
        <w:pStyle w:val="2"/>
        <w:spacing w:line="600" w:lineRule="exact"/>
        <w:ind w:firstLine="600"/>
        <w:rPr>
          <w:color w:val="FF0000"/>
        </w:rPr>
      </w:pPr>
      <w:r>
        <w:rPr>
          <w:rFonts w:hint="eastAsia"/>
        </w:rPr>
        <w:t>一、项目概况</w:t>
      </w:r>
      <w:bookmarkEnd w:id="0"/>
    </w:p>
    <w:p>
      <w:pPr>
        <w:pStyle w:val="2"/>
        <w:spacing w:line="600" w:lineRule="exact"/>
        <w:ind w:firstLine="562"/>
        <w:rPr>
          <w:rFonts w:ascii="仿宋" w:hAnsi="仿宋" w:eastAsia="仿宋"/>
          <w:b/>
          <w:sz w:val="28"/>
          <w:szCs w:val="28"/>
        </w:rPr>
      </w:pPr>
      <w:bookmarkStart w:id="1" w:name="_Toc54889742"/>
      <w:r>
        <w:rPr>
          <w:rFonts w:hint="eastAsia" w:ascii="仿宋" w:hAnsi="仿宋" w:eastAsia="仿宋"/>
          <w:b/>
          <w:sz w:val="28"/>
          <w:szCs w:val="28"/>
        </w:rPr>
        <w:t>（一）项目背景</w:t>
      </w:r>
      <w:bookmarkEnd w:id="1"/>
    </w:p>
    <w:p>
      <w:pPr>
        <w:spacing w:line="600" w:lineRule="exact"/>
        <w:ind w:firstLine="560" w:firstLineChars="200"/>
        <w:rPr>
          <w:rFonts w:ascii="仿宋" w:hAnsi="仿宋" w:eastAsia="仿宋"/>
          <w:sz w:val="28"/>
        </w:rPr>
      </w:pPr>
      <w:r>
        <w:rPr>
          <w:rFonts w:hint="eastAsia" w:ascii="仿宋" w:hAnsi="仿宋" w:eastAsia="仿宋"/>
          <w:sz w:val="28"/>
        </w:rPr>
        <w:t>为切实做好疫情防控工作，减轻企业负担，上海市人力资源社会保障局、医疗保障局、财政局等部门联合发布《关于支持新型冠状病毒感染的肺炎疫情防控减轻企业负担若干政策的通知》（沪人社办〔2020〕44号），明确将受疫情影响企业组织职工开展线上培训的，纳入各区地方教育附加专项资金补贴范围。</w:t>
      </w:r>
    </w:p>
    <w:p>
      <w:pPr>
        <w:spacing w:line="600" w:lineRule="exact"/>
        <w:ind w:firstLine="560" w:firstLineChars="200"/>
        <w:rPr>
          <w:rFonts w:ascii="仿宋" w:hAnsi="仿宋" w:eastAsia="仿宋"/>
          <w:bCs/>
          <w:sz w:val="28"/>
        </w:rPr>
      </w:pPr>
      <w:r>
        <w:rPr>
          <w:rFonts w:hint="eastAsia" w:ascii="仿宋" w:hAnsi="仿宋" w:eastAsia="仿宋"/>
          <w:sz w:val="28"/>
        </w:rPr>
        <w:t>市人社局配套发布《关于做好本市受疫情影响企业职工线上职业培训补贴工作的通知》（沪人社职〔2020〕49号），进一步明确政策导向（以线上培训为实施载体的惠企政策），同时明确</w:t>
      </w:r>
      <w:r>
        <w:rPr>
          <w:rFonts w:hint="eastAsia" w:ascii="仿宋" w:hAnsi="仿宋" w:eastAsia="仿宋"/>
          <w:bCs/>
          <w:sz w:val="28"/>
        </w:rPr>
        <w:t>培训对象/范围、培训内容/方式、申报/审核方式、补贴标准/期限等政策执行要素，要求各区统一落实政策，切实减轻疫情对企业的负担。</w:t>
      </w:r>
    </w:p>
    <w:p>
      <w:pPr>
        <w:spacing w:line="600" w:lineRule="exact"/>
        <w:ind w:firstLine="560" w:firstLineChars="200"/>
        <w:rPr>
          <w:rFonts w:ascii="仿宋" w:hAnsi="仿宋" w:eastAsia="仿宋"/>
          <w:sz w:val="28"/>
        </w:rPr>
      </w:pPr>
      <w:r>
        <w:rPr>
          <w:rFonts w:hint="eastAsia" w:ascii="仿宋" w:hAnsi="仿宋" w:eastAsia="仿宋"/>
          <w:sz w:val="28"/>
        </w:rPr>
        <w:t>2021年至2022年间，随着本市疫情态势的变化与波动，市人社局分别发布《</w:t>
      </w:r>
      <w:r>
        <w:rPr>
          <w:rFonts w:hint="eastAsia" w:ascii="仿宋" w:hAnsi="仿宋" w:eastAsia="仿宋"/>
          <w:bCs/>
          <w:sz w:val="28"/>
        </w:rPr>
        <w:t>关于进一步落实受疫情影响企业职工线上职业培训补贴政策有关事项的通知</w:t>
      </w:r>
      <w:r>
        <w:rPr>
          <w:rFonts w:hint="eastAsia" w:ascii="仿宋" w:hAnsi="仿宋" w:eastAsia="仿宋"/>
          <w:sz w:val="28"/>
        </w:rPr>
        <w:t>》（</w:t>
      </w:r>
      <w:r>
        <w:rPr>
          <w:rFonts w:hint="eastAsia" w:ascii="仿宋" w:hAnsi="仿宋" w:eastAsia="仿宋"/>
          <w:bCs/>
          <w:sz w:val="28"/>
        </w:rPr>
        <w:t>沪人社规〔2021〕4号</w:t>
      </w:r>
      <w:r>
        <w:rPr>
          <w:rFonts w:hint="eastAsia" w:ascii="仿宋" w:hAnsi="仿宋" w:eastAsia="仿宋"/>
          <w:sz w:val="28"/>
        </w:rPr>
        <w:t>）和《本市人社领域权利支持抗击疫情的若干政策措施》（沪人社规〔2022〕10号），对线上培训补贴政策的相关细则进行调整。</w:t>
      </w:r>
    </w:p>
    <w:p>
      <w:pPr>
        <w:spacing w:line="600" w:lineRule="exact"/>
        <w:ind w:firstLine="560" w:firstLineChars="200"/>
        <w:rPr>
          <w:rFonts w:ascii="仿宋" w:hAnsi="仿宋" w:eastAsia="仿宋"/>
          <w:sz w:val="28"/>
        </w:rPr>
      </w:pPr>
      <w:r>
        <w:rPr>
          <w:rFonts w:hint="eastAsia" w:ascii="仿宋" w:hAnsi="仿宋" w:eastAsia="仿宋"/>
          <w:sz w:val="28"/>
        </w:rPr>
        <w:t>近年间市级相关政策核心要素的演变情况如下：</w:t>
      </w:r>
    </w:p>
    <w:p>
      <w:pPr>
        <w:spacing w:line="600" w:lineRule="exact"/>
        <w:ind w:firstLine="560" w:firstLineChars="200"/>
        <w:rPr>
          <w:rFonts w:ascii="仿宋" w:hAnsi="仿宋" w:eastAsia="仿宋"/>
          <w:bCs/>
          <w:sz w:val="28"/>
        </w:rPr>
      </w:pPr>
    </w:p>
    <w:p>
      <w:pPr>
        <w:spacing w:line="600" w:lineRule="exact"/>
        <w:ind w:firstLine="560" w:firstLineChars="200"/>
        <w:rPr>
          <w:rFonts w:ascii="仿宋" w:hAnsi="仿宋" w:eastAsia="仿宋"/>
          <w:bCs/>
          <w:sz w:val="28"/>
        </w:rPr>
      </w:pPr>
    </w:p>
    <w:p>
      <w:pPr>
        <w:spacing w:line="600" w:lineRule="exact"/>
        <w:ind w:firstLine="560" w:firstLineChars="200"/>
        <w:rPr>
          <w:rFonts w:ascii="仿宋" w:hAnsi="仿宋" w:eastAsia="仿宋"/>
          <w:bCs/>
          <w:sz w:val="28"/>
        </w:rPr>
      </w:pPr>
    </w:p>
    <w:p>
      <w:pPr>
        <w:spacing w:line="600" w:lineRule="exact"/>
        <w:ind w:firstLine="482" w:firstLineChars="200"/>
        <w:jc w:val="center"/>
        <w:rPr>
          <w:rFonts w:ascii="仿宋" w:hAnsi="仿宋" w:eastAsia="仿宋"/>
          <w:b/>
          <w:bCs/>
          <w:sz w:val="24"/>
        </w:rPr>
      </w:pPr>
      <w:r>
        <w:rPr>
          <w:rFonts w:hint="eastAsia" w:ascii="仿宋" w:hAnsi="仿宋" w:eastAsia="仿宋"/>
          <w:b/>
          <w:bCs/>
          <w:sz w:val="24"/>
        </w:rPr>
        <w:t>表1-市级政策核心要素演变情况汇总示意表</w:t>
      </w:r>
    </w:p>
    <w:tbl>
      <w:tblPr>
        <w:tblStyle w:val="14"/>
        <w:tblW w:w="5000" w:type="pct"/>
        <w:jc w:val="center"/>
        <w:tblLayout w:type="autofit"/>
        <w:tblCellMar>
          <w:top w:w="0" w:type="dxa"/>
          <w:left w:w="108" w:type="dxa"/>
          <w:bottom w:w="0" w:type="dxa"/>
          <w:right w:w="108" w:type="dxa"/>
        </w:tblCellMar>
      </w:tblPr>
      <w:tblGrid>
        <w:gridCol w:w="1123"/>
        <w:gridCol w:w="2783"/>
        <w:gridCol w:w="4616"/>
      </w:tblGrid>
      <w:tr>
        <w:tblPrEx>
          <w:tblCellMar>
            <w:top w:w="0" w:type="dxa"/>
            <w:left w:w="108" w:type="dxa"/>
            <w:bottom w:w="0" w:type="dxa"/>
            <w:right w:w="108" w:type="dxa"/>
          </w:tblCellMar>
        </w:tblPrEx>
        <w:trPr>
          <w:trHeight w:val="833" w:hRule="atLeast"/>
          <w:jc w:val="center"/>
        </w:trPr>
        <w:tc>
          <w:tcPr>
            <w:tcW w:w="6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年度</w:t>
            </w:r>
          </w:p>
        </w:tc>
        <w:tc>
          <w:tcPr>
            <w:tcW w:w="16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补贴对象</w:t>
            </w:r>
          </w:p>
        </w:tc>
        <w:tc>
          <w:tcPr>
            <w:tcW w:w="270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补贴标准</w:t>
            </w:r>
          </w:p>
        </w:tc>
      </w:tr>
      <w:tr>
        <w:tblPrEx>
          <w:tblCellMar>
            <w:top w:w="0" w:type="dxa"/>
            <w:left w:w="108" w:type="dxa"/>
            <w:bottom w:w="0" w:type="dxa"/>
            <w:right w:w="108" w:type="dxa"/>
          </w:tblCellMar>
        </w:tblPrEx>
        <w:trPr>
          <w:trHeight w:val="1391" w:hRule="atLeast"/>
          <w:jc w:val="center"/>
        </w:trPr>
        <w:tc>
          <w:tcPr>
            <w:tcW w:w="6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2020</w:t>
            </w:r>
          </w:p>
        </w:tc>
        <w:tc>
          <w:tcPr>
            <w:tcW w:w="163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受疫情影响</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整体或部分停工企业</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培训项目：每企业不超过3次</w:t>
            </w:r>
          </w:p>
          <w:p>
            <w:pPr>
              <w:widowControl/>
              <w:jc w:val="left"/>
              <w:rPr>
                <w:rFonts w:ascii="仿宋" w:hAnsi="仿宋" w:eastAsia="仿宋" w:cs="宋体"/>
                <w:kern w:val="0"/>
                <w:sz w:val="24"/>
              </w:rPr>
            </w:pPr>
            <w:r>
              <w:rPr>
                <w:rFonts w:hint="eastAsia" w:ascii="仿宋" w:hAnsi="仿宋" w:eastAsia="仿宋" w:cs="宋体"/>
                <w:kern w:val="0"/>
                <w:sz w:val="24"/>
              </w:rPr>
              <w:t>补贴标准：经审定培训成本的95%，不超过600元/人/次</w:t>
            </w:r>
          </w:p>
        </w:tc>
      </w:tr>
      <w:tr>
        <w:tblPrEx>
          <w:tblCellMar>
            <w:top w:w="0" w:type="dxa"/>
            <w:left w:w="108" w:type="dxa"/>
            <w:bottom w:w="0" w:type="dxa"/>
            <w:right w:w="108" w:type="dxa"/>
          </w:tblCellMar>
        </w:tblPrEx>
        <w:trPr>
          <w:trHeight w:val="1397" w:hRule="atLeast"/>
          <w:jc w:val="center"/>
        </w:trPr>
        <w:tc>
          <w:tcPr>
            <w:tcW w:w="6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2021</w:t>
            </w:r>
          </w:p>
        </w:tc>
        <w:tc>
          <w:tcPr>
            <w:tcW w:w="163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受疫情影响各类企业</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培训项目：每企业不超过1次</w:t>
            </w:r>
          </w:p>
          <w:p>
            <w:pPr>
              <w:widowControl/>
              <w:jc w:val="left"/>
              <w:rPr>
                <w:rFonts w:ascii="仿宋" w:hAnsi="仿宋" w:eastAsia="仿宋" w:cs="宋体"/>
                <w:kern w:val="0"/>
                <w:sz w:val="24"/>
              </w:rPr>
            </w:pPr>
            <w:r>
              <w:rPr>
                <w:rFonts w:hint="eastAsia" w:ascii="仿宋" w:hAnsi="仿宋" w:eastAsia="仿宋" w:cs="宋体"/>
                <w:kern w:val="0"/>
                <w:sz w:val="24"/>
              </w:rPr>
              <w:t>补贴标准：600元/人/次</w:t>
            </w:r>
          </w:p>
        </w:tc>
      </w:tr>
      <w:tr>
        <w:tblPrEx>
          <w:tblCellMar>
            <w:top w:w="0" w:type="dxa"/>
            <w:left w:w="108" w:type="dxa"/>
            <w:bottom w:w="0" w:type="dxa"/>
            <w:right w:w="108" w:type="dxa"/>
          </w:tblCellMar>
        </w:tblPrEx>
        <w:trPr>
          <w:trHeight w:val="1417" w:hRule="atLeast"/>
          <w:jc w:val="center"/>
        </w:trPr>
        <w:tc>
          <w:tcPr>
            <w:tcW w:w="65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2022</w:t>
            </w:r>
          </w:p>
        </w:tc>
        <w:tc>
          <w:tcPr>
            <w:tcW w:w="1633"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受疫情影响各类企业</w:t>
            </w:r>
          </w:p>
        </w:tc>
        <w:tc>
          <w:tcPr>
            <w:tcW w:w="270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培训项目：每企业不超过3次</w:t>
            </w:r>
          </w:p>
          <w:p>
            <w:pPr>
              <w:widowControl/>
              <w:jc w:val="left"/>
              <w:rPr>
                <w:rFonts w:ascii="仿宋" w:hAnsi="仿宋" w:eastAsia="仿宋" w:cs="宋体"/>
                <w:kern w:val="0"/>
                <w:sz w:val="24"/>
              </w:rPr>
            </w:pPr>
            <w:r>
              <w:rPr>
                <w:rFonts w:hint="eastAsia" w:ascii="仿宋" w:hAnsi="仿宋" w:eastAsia="仿宋" w:cs="宋体"/>
                <w:kern w:val="0"/>
                <w:sz w:val="24"/>
              </w:rPr>
              <w:t>补贴标准：600元/人/次</w:t>
            </w:r>
          </w:p>
        </w:tc>
      </w:tr>
    </w:tbl>
    <w:p>
      <w:pPr>
        <w:spacing w:line="460" w:lineRule="exact"/>
        <w:rPr>
          <w:rFonts w:ascii="仿宋" w:hAnsi="仿宋" w:eastAsia="仿宋"/>
          <w:bCs/>
          <w:sz w:val="24"/>
          <w:szCs w:val="22"/>
        </w:rPr>
      </w:pPr>
      <w:r>
        <w:rPr>
          <w:rFonts w:hint="eastAsia" w:ascii="仿宋" w:hAnsi="仿宋" w:eastAsia="仿宋"/>
          <w:b/>
          <w:bCs/>
          <w:sz w:val="24"/>
          <w:szCs w:val="22"/>
        </w:rPr>
        <w:t>注：</w:t>
      </w:r>
      <w:r>
        <w:rPr>
          <w:rFonts w:hint="eastAsia" w:ascii="仿宋" w:hAnsi="仿宋" w:eastAsia="仿宋"/>
          <w:bCs/>
          <w:sz w:val="24"/>
          <w:szCs w:val="22"/>
        </w:rPr>
        <w:t>2020年-2022年的市级政策文件详见附件-市级政策。</w:t>
      </w:r>
    </w:p>
    <w:p>
      <w:pPr>
        <w:spacing w:line="600" w:lineRule="exact"/>
        <w:ind w:firstLine="560" w:firstLineChars="200"/>
        <w:rPr>
          <w:rFonts w:ascii="仿宋" w:hAnsi="仿宋" w:eastAsia="仿宋"/>
          <w:bCs/>
          <w:sz w:val="28"/>
        </w:rPr>
      </w:pPr>
      <w:r>
        <w:rPr>
          <w:rFonts w:hint="eastAsia" w:ascii="仿宋" w:hAnsi="仿宋" w:eastAsia="仿宋"/>
          <w:bCs/>
          <w:sz w:val="28"/>
        </w:rPr>
        <w:t>闵行区人力资源和社会保障局（以下简称“区人保局”）作为辖区内社会保障工作的主管部门，自2020年起设立“线上培训补贴”项目，按照市级发布的政策标准测算编制项目预算并统筹推进项目落实（包括发布工作指引、开展政策宣传、开展培训项目核查等）。</w:t>
      </w:r>
    </w:p>
    <w:p>
      <w:pPr>
        <w:spacing w:line="600" w:lineRule="exact"/>
        <w:ind w:firstLine="560" w:firstLineChars="200"/>
        <w:rPr>
          <w:rFonts w:ascii="仿宋" w:hAnsi="仿宋" w:eastAsia="仿宋"/>
          <w:bCs/>
          <w:sz w:val="28"/>
        </w:rPr>
      </w:pPr>
      <w:r>
        <w:rPr>
          <w:rFonts w:hint="eastAsia" w:ascii="仿宋" w:hAnsi="仿宋" w:eastAsia="仿宋"/>
          <w:bCs/>
          <w:sz w:val="28"/>
        </w:rPr>
        <w:t>2020年-2022年间，项目主要实施情况如下：</w:t>
      </w:r>
    </w:p>
    <w:p>
      <w:pPr>
        <w:spacing w:line="600" w:lineRule="exact"/>
        <w:ind w:firstLine="482" w:firstLineChars="200"/>
        <w:jc w:val="center"/>
        <w:rPr>
          <w:rFonts w:ascii="仿宋" w:hAnsi="仿宋" w:eastAsia="仿宋"/>
          <w:b/>
          <w:bCs/>
          <w:sz w:val="24"/>
        </w:rPr>
      </w:pPr>
      <w:r>
        <w:rPr>
          <w:rFonts w:hint="eastAsia" w:ascii="仿宋" w:hAnsi="仿宋" w:eastAsia="仿宋"/>
          <w:b/>
          <w:bCs/>
          <w:sz w:val="24"/>
        </w:rPr>
        <w:t>表2-闵行区线上培训补贴项目近年实施情况汇总示意表</w:t>
      </w:r>
    </w:p>
    <w:tbl>
      <w:tblPr>
        <w:tblStyle w:val="14"/>
        <w:tblW w:w="5000" w:type="pct"/>
        <w:tblInd w:w="0" w:type="dxa"/>
        <w:tblLayout w:type="autofit"/>
        <w:tblCellMar>
          <w:top w:w="0" w:type="dxa"/>
          <w:left w:w="108" w:type="dxa"/>
          <w:bottom w:w="0" w:type="dxa"/>
          <w:right w:w="108" w:type="dxa"/>
        </w:tblCellMar>
      </w:tblPr>
      <w:tblGrid>
        <w:gridCol w:w="1668"/>
        <w:gridCol w:w="993"/>
        <w:gridCol w:w="1173"/>
        <w:gridCol w:w="1173"/>
        <w:gridCol w:w="1173"/>
        <w:gridCol w:w="1173"/>
        <w:gridCol w:w="1169"/>
      </w:tblGrid>
      <w:tr>
        <w:tblPrEx>
          <w:tblCellMar>
            <w:top w:w="0" w:type="dxa"/>
            <w:left w:w="108" w:type="dxa"/>
            <w:bottom w:w="0" w:type="dxa"/>
            <w:right w:w="108" w:type="dxa"/>
          </w:tblCellMar>
        </w:tblPrEx>
        <w:trPr>
          <w:trHeight w:val="408" w:hRule="atLeast"/>
        </w:trPr>
        <w:tc>
          <w:tcPr>
            <w:tcW w:w="97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年度</w:t>
            </w:r>
          </w:p>
        </w:tc>
        <w:tc>
          <w:tcPr>
            <w:tcW w:w="127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审核备案</w:t>
            </w:r>
          </w:p>
        </w:tc>
        <w:tc>
          <w:tcPr>
            <w:tcW w:w="137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申请补贴</w:t>
            </w:r>
          </w:p>
        </w:tc>
        <w:tc>
          <w:tcPr>
            <w:tcW w:w="137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核查认定</w:t>
            </w:r>
          </w:p>
        </w:tc>
      </w:tr>
      <w:tr>
        <w:tblPrEx>
          <w:tblCellMar>
            <w:top w:w="0" w:type="dxa"/>
            <w:left w:w="108" w:type="dxa"/>
            <w:bottom w:w="0" w:type="dxa"/>
            <w:right w:w="108" w:type="dxa"/>
          </w:tblCellMar>
        </w:tblPrEx>
        <w:trPr>
          <w:trHeight w:val="408" w:hRule="atLeast"/>
        </w:trPr>
        <w:tc>
          <w:tcPr>
            <w:tcW w:w="9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c>
          <w:tcPr>
            <w:tcW w:w="58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企业数</w:t>
            </w:r>
          </w:p>
        </w:tc>
        <w:tc>
          <w:tcPr>
            <w:tcW w:w="6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人次</w:t>
            </w:r>
          </w:p>
        </w:tc>
        <w:tc>
          <w:tcPr>
            <w:tcW w:w="6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企业数</w:t>
            </w:r>
          </w:p>
        </w:tc>
        <w:tc>
          <w:tcPr>
            <w:tcW w:w="6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人次</w:t>
            </w:r>
          </w:p>
        </w:tc>
        <w:tc>
          <w:tcPr>
            <w:tcW w:w="68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企业数</w:t>
            </w:r>
          </w:p>
        </w:tc>
        <w:tc>
          <w:tcPr>
            <w:tcW w:w="68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人次</w:t>
            </w:r>
          </w:p>
        </w:tc>
      </w:tr>
      <w:tr>
        <w:tblPrEx>
          <w:tblCellMar>
            <w:top w:w="0" w:type="dxa"/>
            <w:left w:w="108" w:type="dxa"/>
            <w:bottom w:w="0" w:type="dxa"/>
            <w:right w:w="108" w:type="dxa"/>
          </w:tblCellMar>
        </w:tblPrEx>
        <w:trPr>
          <w:trHeight w:val="758" w:hRule="atLeast"/>
        </w:trPr>
        <w:tc>
          <w:tcPr>
            <w:tcW w:w="97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2020年</w:t>
            </w:r>
          </w:p>
        </w:tc>
        <w:tc>
          <w:tcPr>
            <w:tcW w:w="2647"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首年实施，市级平台未设立统计功能</w:t>
            </w:r>
          </w:p>
          <w:p>
            <w:pPr>
              <w:widowControl/>
              <w:jc w:val="left"/>
              <w:rPr>
                <w:rFonts w:ascii="仿宋" w:hAnsi="仿宋" w:eastAsia="仿宋" w:cs="宋体"/>
                <w:kern w:val="0"/>
                <w:sz w:val="24"/>
              </w:rPr>
            </w:pPr>
            <w:r>
              <w:rPr>
                <w:rFonts w:hint="eastAsia" w:ascii="仿宋" w:hAnsi="仿宋" w:eastAsia="仿宋" w:cs="宋体"/>
                <w:kern w:val="0"/>
                <w:sz w:val="24"/>
              </w:rPr>
              <w:t>以手工台账方式记录，无过程性汇总数据</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268</w:t>
            </w:r>
          </w:p>
          <w:p>
            <w:pPr>
              <w:widowControl/>
              <w:jc w:val="center"/>
              <w:rPr>
                <w:rFonts w:ascii="仿宋" w:hAnsi="仿宋" w:eastAsia="仿宋" w:cs="宋体"/>
                <w:kern w:val="0"/>
                <w:sz w:val="24"/>
              </w:rPr>
            </w:pPr>
            <w:r>
              <w:rPr>
                <w:rFonts w:hint="eastAsia" w:ascii="仿宋" w:hAnsi="仿宋" w:eastAsia="仿宋" w:cs="宋体"/>
                <w:kern w:val="0"/>
                <w:sz w:val="24"/>
              </w:rPr>
              <w:t>家</w:t>
            </w: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3.68</w:t>
            </w:r>
          </w:p>
          <w:p>
            <w:pPr>
              <w:widowControl/>
              <w:jc w:val="center"/>
              <w:rPr>
                <w:rFonts w:ascii="仿宋" w:hAnsi="仿宋" w:eastAsia="仿宋" w:cs="宋体"/>
                <w:kern w:val="0"/>
                <w:sz w:val="24"/>
              </w:rPr>
            </w:pPr>
            <w:r>
              <w:rPr>
                <w:rFonts w:hint="eastAsia" w:ascii="仿宋" w:hAnsi="仿宋" w:eastAsia="仿宋" w:cs="宋体"/>
                <w:kern w:val="0"/>
                <w:sz w:val="24"/>
              </w:rPr>
              <w:t>万人次</w:t>
            </w:r>
          </w:p>
        </w:tc>
      </w:tr>
      <w:tr>
        <w:tblPrEx>
          <w:tblCellMar>
            <w:top w:w="0" w:type="dxa"/>
            <w:left w:w="108" w:type="dxa"/>
            <w:bottom w:w="0" w:type="dxa"/>
            <w:right w:w="108" w:type="dxa"/>
          </w:tblCellMar>
        </w:tblPrEx>
        <w:trPr>
          <w:trHeight w:val="840" w:hRule="atLeast"/>
        </w:trPr>
        <w:tc>
          <w:tcPr>
            <w:tcW w:w="97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2021年</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131</w:t>
            </w:r>
          </w:p>
          <w:p>
            <w:pPr>
              <w:widowControl/>
              <w:jc w:val="center"/>
              <w:rPr>
                <w:rFonts w:ascii="仿宋" w:hAnsi="仿宋" w:eastAsia="仿宋" w:cs="宋体"/>
                <w:kern w:val="0"/>
                <w:sz w:val="24"/>
              </w:rPr>
            </w:pPr>
            <w:r>
              <w:rPr>
                <w:rFonts w:hint="eastAsia" w:ascii="仿宋" w:hAnsi="仿宋" w:eastAsia="仿宋" w:cs="宋体"/>
                <w:kern w:val="0"/>
                <w:sz w:val="24"/>
              </w:rPr>
              <w:t>家</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1.37</w:t>
            </w:r>
          </w:p>
          <w:p>
            <w:pPr>
              <w:widowControl/>
              <w:jc w:val="center"/>
              <w:rPr>
                <w:rFonts w:ascii="仿宋" w:hAnsi="仿宋" w:eastAsia="仿宋" w:cs="宋体"/>
                <w:kern w:val="0"/>
                <w:sz w:val="24"/>
              </w:rPr>
            </w:pPr>
            <w:r>
              <w:rPr>
                <w:rFonts w:hint="eastAsia" w:ascii="仿宋" w:hAnsi="仿宋" w:eastAsia="仿宋" w:cs="宋体"/>
                <w:kern w:val="0"/>
                <w:sz w:val="24"/>
              </w:rPr>
              <w:t>万人次</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121</w:t>
            </w:r>
          </w:p>
          <w:p>
            <w:pPr>
              <w:widowControl/>
              <w:jc w:val="center"/>
              <w:rPr>
                <w:rFonts w:ascii="仿宋" w:hAnsi="仿宋" w:eastAsia="仿宋" w:cs="宋体"/>
                <w:kern w:val="0"/>
                <w:sz w:val="24"/>
              </w:rPr>
            </w:pPr>
            <w:r>
              <w:rPr>
                <w:rFonts w:hint="eastAsia" w:ascii="仿宋" w:hAnsi="仿宋" w:eastAsia="仿宋" w:cs="宋体"/>
                <w:kern w:val="0"/>
                <w:sz w:val="24"/>
              </w:rPr>
              <w:t>家</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1.29</w:t>
            </w:r>
          </w:p>
          <w:p>
            <w:pPr>
              <w:widowControl/>
              <w:jc w:val="center"/>
              <w:rPr>
                <w:rFonts w:ascii="仿宋" w:hAnsi="仿宋" w:eastAsia="仿宋" w:cs="宋体"/>
                <w:kern w:val="0"/>
                <w:sz w:val="24"/>
              </w:rPr>
            </w:pPr>
            <w:r>
              <w:rPr>
                <w:rFonts w:hint="eastAsia" w:ascii="仿宋" w:hAnsi="仿宋" w:eastAsia="仿宋" w:cs="宋体"/>
                <w:kern w:val="0"/>
                <w:sz w:val="24"/>
              </w:rPr>
              <w:t>万人次</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117</w:t>
            </w:r>
          </w:p>
          <w:p>
            <w:pPr>
              <w:widowControl/>
              <w:jc w:val="center"/>
              <w:rPr>
                <w:rFonts w:ascii="仿宋" w:hAnsi="仿宋" w:eastAsia="仿宋" w:cs="宋体"/>
                <w:kern w:val="0"/>
                <w:sz w:val="24"/>
              </w:rPr>
            </w:pPr>
            <w:r>
              <w:rPr>
                <w:rFonts w:hint="eastAsia" w:ascii="仿宋" w:hAnsi="仿宋" w:eastAsia="仿宋" w:cs="宋体"/>
                <w:kern w:val="0"/>
                <w:sz w:val="24"/>
              </w:rPr>
              <w:t>家</w:t>
            </w: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1.03</w:t>
            </w:r>
          </w:p>
          <w:p>
            <w:pPr>
              <w:widowControl/>
              <w:jc w:val="center"/>
              <w:rPr>
                <w:rFonts w:ascii="仿宋" w:hAnsi="仿宋" w:eastAsia="仿宋" w:cs="宋体"/>
                <w:kern w:val="0"/>
                <w:sz w:val="24"/>
              </w:rPr>
            </w:pPr>
            <w:r>
              <w:rPr>
                <w:rFonts w:hint="eastAsia" w:ascii="仿宋" w:hAnsi="仿宋" w:eastAsia="仿宋" w:cs="宋体"/>
                <w:kern w:val="0"/>
                <w:sz w:val="24"/>
              </w:rPr>
              <w:t>万人次</w:t>
            </w:r>
          </w:p>
        </w:tc>
      </w:tr>
      <w:tr>
        <w:tblPrEx>
          <w:tblCellMar>
            <w:top w:w="0" w:type="dxa"/>
            <w:left w:w="108" w:type="dxa"/>
            <w:bottom w:w="0" w:type="dxa"/>
            <w:right w:w="108" w:type="dxa"/>
          </w:tblCellMar>
        </w:tblPrEx>
        <w:trPr>
          <w:trHeight w:val="979" w:hRule="atLeast"/>
        </w:trPr>
        <w:tc>
          <w:tcPr>
            <w:tcW w:w="9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2022年</w:t>
            </w:r>
          </w:p>
          <w:p>
            <w:pPr>
              <w:widowControl/>
              <w:jc w:val="center"/>
              <w:rPr>
                <w:rFonts w:ascii="仿宋" w:hAnsi="仿宋" w:eastAsia="仿宋" w:cs="宋体"/>
                <w:kern w:val="0"/>
                <w:sz w:val="24"/>
              </w:rPr>
            </w:pPr>
            <w:r>
              <w:rPr>
                <w:rFonts w:hint="eastAsia" w:ascii="仿宋" w:hAnsi="仿宋" w:eastAsia="仿宋" w:cs="宋体"/>
                <w:kern w:val="0"/>
                <w:sz w:val="24"/>
              </w:rPr>
              <w:t>（截至目前）</w:t>
            </w:r>
          </w:p>
        </w:tc>
        <w:tc>
          <w:tcPr>
            <w:tcW w:w="58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1497</w:t>
            </w:r>
          </w:p>
          <w:p>
            <w:pPr>
              <w:widowControl/>
              <w:jc w:val="center"/>
              <w:rPr>
                <w:rFonts w:ascii="仿宋" w:hAnsi="仿宋" w:eastAsia="仿宋" w:cs="宋体"/>
                <w:kern w:val="0"/>
                <w:sz w:val="24"/>
              </w:rPr>
            </w:pPr>
            <w:r>
              <w:rPr>
                <w:rFonts w:hint="eastAsia" w:ascii="仿宋" w:hAnsi="仿宋" w:eastAsia="仿宋" w:cs="宋体"/>
                <w:kern w:val="0"/>
                <w:sz w:val="24"/>
              </w:rPr>
              <w:t>家</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18.21</w:t>
            </w:r>
          </w:p>
          <w:p>
            <w:pPr>
              <w:widowControl/>
              <w:jc w:val="center"/>
              <w:rPr>
                <w:rFonts w:ascii="仿宋" w:hAnsi="仿宋" w:eastAsia="仿宋" w:cs="宋体"/>
                <w:kern w:val="0"/>
                <w:sz w:val="24"/>
              </w:rPr>
            </w:pPr>
            <w:r>
              <w:rPr>
                <w:rFonts w:hint="eastAsia" w:ascii="仿宋" w:hAnsi="仿宋" w:eastAsia="仿宋" w:cs="宋体"/>
                <w:kern w:val="0"/>
                <w:sz w:val="24"/>
              </w:rPr>
              <w:t>万人次</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1092</w:t>
            </w:r>
          </w:p>
          <w:p>
            <w:pPr>
              <w:widowControl/>
              <w:jc w:val="center"/>
              <w:rPr>
                <w:rFonts w:ascii="仿宋" w:hAnsi="仿宋" w:eastAsia="仿宋" w:cs="宋体"/>
                <w:kern w:val="0"/>
                <w:sz w:val="24"/>
              </w:rPr>
            </w:pPr>
            <w:r>
              <w:rPr>
                <w:rFonts w:hint="eastAsia" w:ascii="仿宋" w:hAnsi="仿宋" w:eastAsia="仿宋" w:cs="宋体"/>
                <w:kern w:val="0"/>
                <w:sz w:val="24"/>
              </w:rPr>
              <w:t>家</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14.09</w:t>
            </w:r>
          </w:p>
          <w:p>
            <w:pPr>
              <w:widowControl/>
              <w:jc w:val="center"/>
              <w:rPr>
                <w:rFonts w:ascii="仿宋" w:hAnsi="仿宋" w:eastAsia="仿宋" w:cs="宋体"/>
                <w:kern w:val="0"/>
                <w:sz w:val="24"/>
              </w:rPr>
            </w:pPr>
            <w:r>
              <w:rPr>
                <w:rFonts w:hint="eastAsia" w:ascii="仿宋" w:hAnsi="仿宋" w:eastAsia="仿宋" w:cs="宋体"/>
                <w:kern w:val="0"/>
                <w:sz w:val="24"/>
              </w:rPr>
              <w:t>万人次</w:t>
            </w:r>
          </w:p>
        </w:tc>
        <w:tc>
          <w:tcPr>
            <w:tcW w:w="1374"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实施中</w:t>
            </w:r>
          </w:p>
        </w:tc>
      </w:tr>
    </w:tbl>
    <w:p>
      <w:pPr>
        <w:spacing w:line="600" w:lineRule="exact"/>
        <w:ind w:firstLine="482" w:firstLineChars="200"/>
        <w:rPr>
          <w:rFonts w:ascii="仿宋" w:hAnsi="仿宋" w:eastAsia="仿宋"/>
          <w:bCs/>
          <w:sz w:val="28"/>
        </w:rPr>
      </w:pPr>
      <w:r>
        <w:rPr>
          <w:rFonts w:hint="eastAsia" w:ascii="仿宋" w:hAnsi="仿宋" w:eastAsia="仿宋"/>
          <w:b/>
          <w:bCs/>
          <w:sz w:val="24"/>
          <w:szCs w:val="22"/>
        </w:rPr>
        <w:t>注：</w:t>
      </w:r>
      <w:r>
        <w:rPr>
          <w:rFonts w:hint="eastAsia" w:ascii="仿宋" w:hAnsi="仿宋" w:eastAsia="仿宋"/>
          <w:sz w:val="24"/>
          <w:szCs w:val="22"/>
        </w:rPr>
        <w:t>2021年明细详见附件-2021年审计报告；2022年截至目前的申请补贴企业清单详见附件-2022年申请补贴企业明细表。</w:t>
      </w:r>
    </w:p>
    <w:p>
      <w:pPr>
        <w:spacing w:line="600" w:lineRule="exact"/>
        <w:ind w:firstLine="560" w:firstLineChars="200"/>
        <w:rPr>
          <w:rFonts w:ascii="仿宋" w:hAnsi="仿宋" w:eastAsia="仿宋"/>
          <w:sz w:val="24"/>
          <w:szCs w:val="22"/>
        </w:rPr>
      </w:pPr>
      <w:r>
        <w:rPr>
          <w:rFonts w:hint="eastAsia" w:ascii="仿宋" w:hAnsi="仿宋" w:eastAsia="仿宋"/>
          <w:bCs/>
          <w:sz w:val="28"/>
        </w:rPr>
        <w:t>以相关统计数据较为完整的2021年项目实施情况为例，核查认定环节对申请补贴的人次筛减率约为20.16%，主要筛减原因包括两个方面，一是参训职工未完成培训（如缺勤、未参与考试等情况）；二是部分参训职工经核实社保缴纳状态异常（企业非缴费单位且无法佐证劳务派遣关系等情况）。</w:t>
      </w:r>
    </w:p>
    <w:p>
      <w:pPr>
        <w:spacing w:line="600" w:lineRule="exact"/>
        <w:ind w:firstLine="560" w:firstLineChars="200"/>
        <w:rPr>
          <w:rFonts w:ascii="仿宋" w:hAnsi="仿宋" w:eastAsia="仿宋"/>
          <w:bCs/>
          <w:sz w:val="28"/>
        </w:rPr>
      </w:pPr>
      <w:r>
        <w:rPr>
          <w:rFonts w:hint="eastAsia" w:ascii="仿宋" w:hAnsi="仿宋" w:eastAsia="仿宋"/>
          <w:bCs/>
          <w:sz w:val="28"/>
        </w:rPr>
        <w:t>2022年针对线上培训项目的核查认定正在实施推进，区人社局下属就业促进中心通过购买服务引入督导与审计机构各一家，分别为能来（上海）信息技术有限公司与上海沪汇会计师事务所。截止到2022年11月，区人社局部署开展首批约160家企业的督导审计工作，已对接进场约30家（企业回应审计工作要求，陆续提供近两年教育附加缴纳情况、培训职工社保缴纳情况等佐证资料）。</w:t>
      </w:r>
    </w:p>
    <w:p>
      <w:pPr>
        <w:pStyle w:val="2"/>
        <w:spacing w:line="600" w:lineRule="exact"/>
        <w:ind w:firstLine="562"/>
        <w:rPr>
          <w:rFonts w:ascii="仿宋" w:hAnsi="仿宋" w:eastAsia="仿宋"/>
          <w:b/>
          <w:sz w:val="28"/>
          <w:szCs w:val="28"/>
        </w:rPr>
      </w:pPr>
      <w:r>
        <w:rPr>
          <w:rFonts w:hint="eastAsia" w:ascii="仿宋" w:hAnsi="仿宋" w:eastAsia="仿宋"/>
          <w:b/>
          <w:sz w:val="28"/>
          <w:szCs w:val="28"/>
        </w:rPr>
        <w:t>（二）项目内容</w:t>
      </w:r>
    </w:p>
    <w:p>
      <w:pPr>
        <w:spacing w:line="600" w:lineRule="exact"/>
        <w:ind w:firstLine="560" w:firstLineChars="200"/>
        <w:rPr>
          <w:rFonts w:ascii="仿宋" w:hAnsi="仿宋" w:eastAsia="仿宋"/>
          <w:bCs/>
          <w:sz w:val="28"/>
        </w:rPr>
      </w:pPr>
      <w:r>
        <w:rPr>
          <w:rFonts w:hint="eastAsia" w:ascii="仿宋" w:hAnsi="仿宋" w:eastAsia="仿宋"/>
          <w:bCs/>
          <w:sz w:val="28"/>
        </w:rPr>
        <w:t>闵行区线上培训补贴项目为政策执行类项目，区人社局层面的具体工作环节包括指引编发、政策宣传、培训项目受理备案、项目核查与资金拨付。以2022年区人社局编发的《闵行区受疫情影响企业职工线上培训补贴工作指引》为例，相关政策要素如下表所示（具体工作指引详见附件-闵行工作指引）：</w:t>
      </w:r>
    </w:p>
    <w:p>
      <w:pPr>
        <w:spacing w:line="600" w:lineRule="exact"/>
        <w:ind w:firstLine="562" w:firstLineChars="200"/>
        <w:rPr>
          <w:rFonts w:ascii="仿宋" w:hAnsi="仿宋" w:eastAsia="仿宋"/>
          <w:b/>
          <w:bCs/>
          <w:sz w:val="28"/>
        </w:rPr>
      </w:pPr>
    </w:p>
    <w:p>
      <w:pPr>
        <w:spacing w:line="600" w:lineRule="exact"/>
        <w:ind w:firstLine="562" w:firstLineChars="200"/>
        <w:rPr>
          <w:rFonts w:ascii="仿宋" w:hAnsi="仿宋" w:eastAsia="仿宋"/>
          <w:b/>
          <w:bCs/>
          <w:sz w:val="28"/>
        </w:rPr>
      </w:pPr>
    </w:p>
    <w:p>
      <w:pPr>
        <w:spacing w:line="600" w:lineRule="exact"/>
        <w:ind w:firstLine="562" w:firstLineChars="200"/>
        <w:rPr>
          <w:rFonts w:ascii="仿宋" w:hAnsi="仿宋" w:eastAsia="仿宋"/>
          <w:b/>
          <w:bCs/>
          <w:sz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600" w:lineRule="exact"/>
        <w:ind w:firstLine="480" w:firstLineChars="200"/>
        <w:jc w:val="center"/>
        <w:rPr>
          <w:rFonts w:ascii="仿宋" w:hAnsi="仿宋" w:eastAsia="仿宋"/>
          <w:b/>
          <w:bCs/>
          <w:sz w:val="24"/>
        </w:rPr>
      </w:pPr>
      <w:r>
        <w:rPr>
          <w:rFonts w:ascii="仿宋" w:hAnsi="仿宋" w:eastAsia="仿宋"/>
          <w:b/>
          <w:bCs/>
          <w:sz w:val="24"/>
        </w:rPr>
        <w:t>表</w:t>
      </w:r>
      <w:r>
        <w:rPr>
          <w:rFonts w:hint="eastAsia" w:ascii="仿宋" w:hAnsi="仿宋" w:eastAsia="仿宋"/>
          <w:b/>
          <w:bCs/>
          <w:sz w:val="24"/>
        </w:rPr>
        <w:t>3-《闵行区受疫情影响企业职工线上培训补贴工作指引》（2022版）主要内容</w:t>
      </w:r>
    </w:p>
    <w:tbl>
      <w:tblPr>
        <w:tblStyle w:val="14"/>
        <w:tblW w:w="5000" w:type="pct"/>
        <w:tblInd w:w="0" w:type="dxa"/>
        <w:tblLayout w:type="autofit"/>
        <w:tblCellMar>
          <w:top w:w="0" w:type="dxa"/>
          <w:left w:w="108" w:type="dxa"/>
          <w:bottom w:w="0" w:type="dxa"/>
          <w:right w:w="108" w:type="dxa"/>
        </w:tblCellMar>
      </w:tblPr>
      <w:tblGrid>
        <w:gridCol w:w="2710"/>
        <w:gridCol w:w="913"/>
        <w:gridCol w:w="10551"/>
      </w:tblGrid>
      <w:tr>
        <w:tblPrEx>
          <w:tblCellMar>
            <w:top w:w="0" w:type="dxa"/>
            <w:left w:w="108" w:type="dxa"/>
            <w:bottom w:w="0" w:type="dxa"/>
            <w:right w:w="108" w:type="dxa"/>
          </w:tblCellMar>
        </w:tblPrEx>
        <w:trPr>
          <w:trHeight w:val="564" w:hRule="atLeast"/>
          <w:tblHeader/>
        </w:trPr>
        <w:tc>
          <w:tcPr>
            <w:tcW w:w="9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政策要素</w:t>
            </w:r>
          </w:p>
        </w:tc>
        <w:tc>
          <w:tcPr>
            <w:tcW w:w="3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37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主要内容</w:t>
            </w:r>
          </w:p>
        </w:tc>
      </w:tr>
      <w:tr>
        <w:tblPrEx>
          <w:tblCellMar>
            <w:top w:w="0" w:type="dxa"/>
            <w:left w:w="108" w:type="dxa"/>
            <w:bottom w:w="0" w:type="dxa"/>
            <w:right w:w="108" w:type="dxa"/>
          </w:tblCellMar>
        </w:tblPrEx>
        <w:trPr>
          <w:trHeight w:val="651" w:hRule="atLeast"/>
        </w:trPr>
        <w:tc>
          <w:tcPr>
            <w:tcW w:w="9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申报单位</w:t>
            </w:r>
          </w:p>
          <w:p>
            <w:pPr>
              <w:widowControl/>
              <w:jc w:val="center"/>
              <w:rPr>
                <w:rFonts w:ascii="仿宋" w:hAnsi="仿宋" w:eastAsia="仿宋" w:cs="宋体"/>
                <w:kern w:val="0"/>
                <w:sz w:val="24"/>
              </w:rPr>
            </w:pPr>
            <w:r>
              <w:rPr>
                <w:rFonts w:hint="eastAsia" w:ascii="仿宋" w:hAnsi="仿宋" w:eastAsia="仿宋" w:cs="宋体"/>
                <w:kern w:val="0"/>
                <w:sz w:val="24"/>
              </w:rPr>
              <w:t>及人员要求</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税收征管关系在闵行区，受疫情影响的各类企业、社会组织等用人单位（行业协会除外）</w:t>
            </w:r>
          </w:p>
        </w:tc>
      </w:tr>
      <w:tr>
        <w:tblPrEx>
          <w:tblCellMar>
            <w:top w:w="0" w:type="dxa"/>
            <w:left w:w="108" w:type="dxa"/>
            <w:bottom w:w="0" w:type="dxa"/>
            <w:right w:w="108" w:type="dxa"/>
          </w:tblCellMar>
        </w:tblPrEx>
        <w:trPr>
          <w:trHeight w:val="845" w:hRule="atLeast"/>
        </w:trPr>
        <w:tc>
          <w:tcPr>
            <w:tcW w:w="9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申报单位实际用工的从业人员（劳动关系人员或劳务派遣人员）;</w:t>
            </w:r>
          </w:p>
          <w:p>
            <w:pPr>
              <w:widowControl/>
              <w:jc w:val="left"/>
              <w:rPr>
                <w:rFonts w:ascii="仿宋" w:hAnsi="仿宋" w:eastAsia="仿宋" w:cs="宋体"/>
                <w:kern w:val="0"/>
                <w:sz w:val="24"/>
              </w:rPr>
            </w:pPr>
            <w:r>
              <w:rPr>
                <w:rFonts w:hint="eastAsia" w:ascii="仿宋" w:hAnsi="仿宋" w:eastAsia="仿宋" w:cs="宋体"/>
                <w:kern w:val="0"/>
                <w:sz w:val="24"/>
              </w:rPr>
              <w:t>劳务派遣机构仅可对实际在岗从业人员申报培训需求（劳务派遣人员由其实际用工单位申报）</w:t>
            </w:r>
          </w:p>
        </w:tc>
      </w:tr>
      <w:tr>
        <w:tblPrEx>
          <w:tblCellMar>
            <w:top w:w="0" w:type="dxa"/>
            <w:left w:w="108" w:type="dxa"/>
            <w:bottom w:w="0" w:type="dxa"/>
            <w:right w:w="108" w:type="dxa"/>
          </w:tblCellMar>
        </w:tblPrEx>
        <w:trPr>
          <w:trHeight w:val="842" w:hRule="atLeast"/>
        </w:trPr>
        <w:tc>
          <w:tcPr>
            <w:tcW w:w="9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培训内容</w:t>
            </w:r>
          </w:p>
          <w:p>
            <w:pPr>
              <w:widowControl/>
              <w:jc w:val="center"/>
              <w:rPr>
                <w:rFonts w:ascii="仿宋" w:hAnsi="仿宋" w:eastAsia="仿宋" w:cs="宋体"/>
                <w:kern w:val="0"/>
                <w:sz w:val="24"/>
              </w:rPr>
            </w:pPr>
            <w:r>
              <w:rPr>
                <w:rFonts w:hint="eastAsia" w:ascii="仿宋" w:hAnsi="仿宋" w:eastAsia="仿宋" w:cs="宋体"/>
                <w:kern w:val="0"/>
                <w:sz w:val="24"/>
              </w:rPr>
              <w:t>及时长要求</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与本单位主营业务相关的各类线上职业培训（可参考企业营业执照或单位法人登记证书规定的主要业务范围），普适性的项目不可列入，申报的培训课程内容需与培训项目保持一致</w:t>
            </w:r>
          </w:p>
        </w:tc>
      </w:tr>
      <w:tr>
        <w:tblPrEx>
          <w:tblCellMar>
            <w:top w:w="0" w:type="dxa"/>
            <w:left w:w="108" w:type="dxa"/>
            <w:bottom w:w="0" w:type="dxa"/>
            <w:right w:w="108" w:type="dxa"/>
          </w:tblCellMar>
        </w:tblPrEx>
        <w:trPr>
          <w:trHeight w:val="960" w:hRule="atLeast"/>
        </w:trPr>
        <w:tc>
          <w:tcPr>
            <w:tcW w:w="9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每个项目培训课程时长不少于24课时（每课时不少于45分钟，培训课程总时长不低于1080分钟，且不包括答疑、测试时间）</w:t>
            </w:r>
          </w:p>
        </w:tc>
      </w:tr>
      <w:tr>
        <w:tblPrEx>
          <w:tblCellMar>
            <w:top w:w="0" w:type="dxa"/>
            <w:left w:w="108" w:type="dxa"/>
            <w:bottom w:w="0" w:type="dxa"/>
            <w:right w:w="108" w:type="dxa"/>
          </w:tblCellMar>
        </w:tblPrEx>
        <w:trPr>
          <w:trHeight w:val="726" w:hRule="atLeast"/>
        </w:trPr>
        <w:tc>
          <w:tcPr>
            <w:tcW w:w="95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培训平台要求</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可在自主开发的线上培训平台，或第三方线上培训平台组织培训；</w:t>
            </w:r>
          </w:p>
          <w:p>
            <w:pPr>
              <w:widowControl/>
              <w:jc w:val="left"/>
              <w:rPr>
                <w:rFonts w:ascii="仿宋" w:hAnsi="仿宋" w:eastAsia="仿宋" w:cs="宋体"/>
                <w:kern w:val="0"/>
                <w:sz w:val="24"/>
              </w:rPr>
            </w:pPr>
            <w:r>
              <w:rPr>
                <w:rFonts w:hint="eastAsia" w:ascii="仿宋" w:hAnsi="仿宋" w:eastAsia="仿宋" w:cs="宋体"/>
                <w:kern w:val="0"/>
                <w:sz w:val="24"/>
              </w:rPr>
              <w:t>市人社局征集公布一批第三方线上培训平台</w:t>
            </w:r>
          </w:p>
        </w:tc>
      </w:tr>
      <w:tr>
        <w:tblPrEx>
          <w:tblCellMar>
            <w:top w:w="0" w:type="dxa"/>
            <w:left w:w="108" w:type="dxa"/>
            <w:bottom w:w="0" w:type="dxa"/>
            <w:right w:w="108" w:type="dxa"/>
          </w:tblCellMar>
        </w:tblPrEx>
        <w:trPr>
          <w:trHeight w:val="1284" w:hRule="atLeast"/>
        </w:trPr>
        <w:tc>
          <w:tcPr>
            <w:tcW w:w="9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培训平台须符合相关管理规定，具体指“四有两可”；</w:t>
            </w:r>
          </w:p>
          <w:p>
            <w:pPr>
              <w:widowControl/>
              <w:jc w:val="left"/>
              <w:rPr>
                <w:rFonts w:ascii="仿宋" w:hAnsi="仿宋" w:eastAsia="仿宋" w:cs="宋体"/>
                <w:kern w:val="0"/>
                <w:sz w:val="24"/>
              </w:rPr>
            </w:pPr>
            <w:r>
              <w:rPr>
                <w:rFonts w:hint="eastAsia" w:ascii="仿宋" w:hAnsi="仿宋" w:eastAsia="仿宋" w:cs="宋体"/>
                <w:kern w:val="0"/>
                <w:sz w:val="24"/>
              </w:rPr>
              <w:t>四有：有签到注册、有学习记录、有答疑辅导、有评价测试</w:t>
            </w:r>
          </w:p>
          <w:p>
            <w:pPr>
              <w:widowControl/>
              <w:jc w:val="left"/>
              <w:rPr>
                <w:rFonts w:ascii="仿宋" w:hAnsi="仿宋" w:eastAsia="仿宋" w:cs="宋体"/>
                <w:kern w:val="0"/>
                <w:sz w:val="24"/>
              </w:rPr>
            </w:pPr>
            <w:r>
              <w:rPr>
                <w:rFonts w:hint="eastAsia" w:ascii="仿宋" w:hAnsi="仿宋" w:eastAsia="仿宋" w:cs="宋体"/>
                <w:kern w:val="0"/>
                <w:sz w:val="24"/>
              </w:rPr>
              <w:t>两可：学习过程可查询、可追溯</w:t>
            </w:r>
          </w:p>
          <w:p>
            <w:pPr>
              <w:widowControl/>
              <w:jc w:val="left"/>
              <w:rPr>
                <w:rFonts w:ascii="仿宋" w:hAnsi="仿宋" w:eastAsia="仿宋" w:cs="宋体"/>
                <w:kern w:val="0"/>
                <w:sz w:val="24"/>
              </w:rPr>
            </w:pPr>
            <w:r>
              <w:rPr>
                <w:rFonts w:hint="eastAsia" w:ascii="仿宋" w:hAnsi="仿宋" w:eastAsia="仿宋" w:cs="宋体"/>
                <w:kern w:val="0"/>
                <w:sz w:val="24"/>
              </w:rPr>
              <w:t>同时平台应具有相关部门/单位的资质认定佐证资料</w:t>
            </w:r>
          </w:p>
        </w:tc>
      </w:tr>
      <w:tr>
        <w:tblPrEx>
          <w:tblCellMar>
            <w:top w:w="0" w:type="dxa"/>
            <w:left w:w="108" w:type="dxa"/>
            <w:bottom w:w="0" w:type="dxa"/>
            <w:right w:w="108" w:type="dxa"/>
          </w:tblCellMar>
        </w:tblPrEx>
        <w:trPr>
          <w:trHeight w:val="1104" w:hRule="atLeast"/>
        </w:trPr>
        <w:tc>
          <w:tcPr>
            <w:tcW w:w="9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补贴标准</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每人每个培训项目600元</w:t>
            </w:r>
          </w:p>
          <w:p>
            <w:pPr>
              <w:widowControl/>
              <w:jc w:val="left"/>
              <w:rPr>
                <w:rFonts w:ascii="仿宋" w:hAnsi="仿宋" w:eastAsia="仿宋" w:cs="宋体"/>
                <w:kern w:val="0"/>
                <w:sz w:val="24"/>
              </w:rPr>
            </w:pPr>
            <w:r>
              <w:rPr>
                <w:rFonts w:hint="eastAsia" w:ascii="仿宋" w:hAnsi="仿宋" w:eastAsia="仿宋" w:cs="宋体"/>
                <w:kern w:val="0"/>
                <w:sz w:val="24"/>
              </w:rPr>
              <w:t>每人每年可享受3次（3个项目）培训补贴</w:t>
            </w:r>
          </w:p>
          <w:p>
            <w:pPr>
              <w:widowControl/>
              <w:jc w:val="left"/>
              <w:rPr>
                <w:rFonts w:ascii="仿宋" w:hAnsi="仿宋" w:eastAsia="仿宋" w:cs="宋体"/>
                <w:kern w:val="0"/>
                <w:sz w:val="24"/>
              </w:rPr>
            </w:pPr>
            <w:r>
              <w:rPr>
                <w:rFonts w:hint="eastAsia" w:ascii="仿宋" w:hAnsi="仿宋" w:eastAsia="仿宋" w:cs="宋体"/>
                <w:kern w:val="0"/>
                <w:sz w:val="24"/>
              </w:rPr>
              <w:t>同一职工同一培训项目不得重复享受补贴</w:t>
            </w:r>
          </w:p>
        </w:tc>
      </w:tr>
      <w:tr>
        <w:tblPrEx>
          <w:tblCellMar>
            <w:top w:w="0" w:type="dxa"/>
            <w:left w:w="108" w:type="dxa"/>
            <w:bottom w:w="0" w:type="dxa"/>
            <w:right w:w="108" w:type="dxa"/>
          </w:tblCellMar>
        </w:tblPrEx>
        <w:trPr>
          <w:trHeight w:val="1152" w:hRule="atLeast"/>
        </w:trPr>
        <w:tc>
          <w:tcPr>
            <w:tcW w:w="95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Cs/>
                <w:kern w:val="0"/>
                <w:sz w:val="24"/>
              </w:rPr>
            </w:pPr>
            <w:r>
              <w:rPr>
                <w:rFonts w:hint="eastAsia" w:ascii="仿宋" w:hAnsi="仿宋" w:eastAsia="仿宋" w:cs="宋体"/>
                <w:bCs/>
                <w:kern w:val="0"/>
                <w:sz w:val="24"/>
              </w:rPr>
              <w:t>近两年缴纳过地方教育附加的企业最高补贴金额为100万元</w:t>
            </w:r>
          </w:p>
          <w:p>
            <w:pPr>
              <w:widowControl/>
              <w:jc w:val="left"/>
              <w:rPr>
                <w:rFonts w:ascii="仿宋" w:hAnsi="仿宋" w:eastAsia="仿宋" w:cs="宋体"/>
                <w:bCs/>
                <w:kern w:val="0"/>
                <w:sz w:val="24"/>
              </w:rPr>
            </w:pPr>
            <w:r>
              <w:rPr>
                <w:rFonts w:hint="eastAsia" w:ascii="仿宋" w:hAnsi="仿宋" w:eastAsia="仿宋" w:cs="宋体"/>
                <w:bCs/>
                <w:kern w:val="0"/>
                <w:sz w:val="24"/>
              </w:rPr>
              <w:t>未缴纳过地方教育附加的企业最高补贴金额为30万元</w:t>
            </w:r>
          </w:p>
          <w:p>
            <w:pPr>
              <w:widowControl/>
              <w:jc w:val="left"/>
              <w:rPr>
                <w:rFonts w:ascii="仿宋" w:hAnsi="仿宋" w:eastAsia="仿宋" w:cs="宋体"/>
                <w:bCs/>
                <w:color w:val="FF0000"/>
                <w:kern w:val="0"/>
                <w:sz w:val="24"/>
              </w:rPr>
            </w:pPr>
            <w:r>
              <w:rPr>
                <w:rFonts w:hint="eastAsia" w:ascii="仿宋" w:hAnsi="仿宋" w:eastAsia="仿宋" w:cs="宋体"/>
                <w:bCs/>
                <w:kern w:val="0"/>
                <w:sz w:val="24"/>
              </w:rPr>
              <w:t>（闵行区自设细则条款）</w:t>
            </w:r>
          </w:p>
        </w:tc>
      </w:tr>
      <w:tr>
        <w:tblPrEx>
          <w:tblCellMar>
            <w:top w:w="0" w:type="dxa"/>
            <w:left w:w="108" w:type="dxa"/>
            <w:bottom w:w="0" w:type="dxa"/>
            <w:right w:w="108" w:type="dxa"/>
          </w:tblCellMar>
        </w:tblPrEx>
        <w:trPr>
          <w:trHeight w:val="6240" w:hRule="atLeast"/>
        </w:trPr>
        <w:tc>
          <w:tcPr>
            <w:tcW w:w="95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实施流程</w:t>
            </w:r>
          </w:p>
        </w:tc>
        <w:tc>
          <w:tcPr>
            <w:tcW w:w="32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372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Cs/>
                <w:kern w:val="0"/>
                <w:sz w:val="24"/>
              </w:rPr>
            </w:pPr>
            <w:r>
              <w:rPr>
                <w:rFonts w:hint="eastAsia" w:ascii="仿宋" w:hAnsi="仿宋" w:eastAsia="仿宋" w:cs="宋体"/>
                <w:bCs/>
                <w:kern w:val="0"/>
                <w:sz w:val="24"/>
              </w:rPr>
              <w:t>1）申报备案：</w:t>
            </w:r>
          </w:p>
          <w:p>
            <w:pPr>
              <w:widowControl/>
              <w:jc w:val="left"/>
              <w:rPr>
                <w:rFonts w:ascii="仿宋" w:hAnsi="仿宋" w:eastAsia="仿宋" w:cs="宋体"/>
                <w:kern w:val="0"/>
                <w:sz w:val="24"/>
              </w:rPr>
            </w:pPr>
            <w:r>
              <w:rPr>
                <w:rFonts w:hint="eastAsia" w:ascii="仿宋" w:hAnsi="仿宋" w:eastAsia="仿宋" w:cs="宋体"/>
                <w:kern w:val="0"/>
                <w:sz w:val="24"/>
              </w:rPr>
              <w:t>企业按税收征管关系所在街镇提出培训需求，并通过人社系统按要求提交备案表、培训方案、告知承诺书、培训补贴承诺书等资料</w:t>
            </w:r>
          </w:p>
          <w:p>
            <w:pPr>
              <w:widowControl/>
              <w:jc w:val="left"/>
              <w:rPr>
                <w:rFonts w:ascii="仿宋" w:hAnsi="仿宋" w:eastAsia="仿宋" w:cs="宋体"/>
                <w:bCs/>
                <w:kern w:val="0"/>
                <w:sz w:val="24"/>
              </w:rPr>
            </w:pPr>
            <w:r>
              <w:rPr>
                <w:rFonts w:hint="eastAsia" w:ascii="仿宋" w:hAnsi="仿宋" w:eastAsia="仿宋" w:cs="宋体"/>
                <w:bCs/>
                <w:kern w:val="0"/>
                <w:sz w:val="24"/>
              </w:rPr>
              <w:t>2）项目审核：</w:t>
            </w:r>
          </w:p>
          <w:p>
            <w:pPr>
              <w:widowControl/>
              <w:jc w:val="left"/>
              <w:rPr>
                <w:rFonts w:ascii="仿宋" w:hAnsi="仿宋" w:eastAsia="仿宋" w:cs="宋体"/>
                <w:kern w:val="0"/>
                <w:sz w:val="24"/>
              </w:rPr>
            </w:pPr>
            <w:r>
              <w:rPr>
                <w:rFonts w:hint="eastAsia" w:ascii="仿宋" w:hAnsi="仿宋" w:eastAsia="仿宋" w:cs="宋体"/>
                <w:kern w:val="0"/>
                <w:sz w:val="24"/>
              </w:rPr>
              <w:t>由各街镇对企业提交的申报材料，参照前述细则标准实施审核，符合条件的予以审核通过，否则进行退回（告知修改要求）</w:t>
            </w:r>
          </w:p>
          <w:p>
            <w:pPr>
              <w:widowControl/>
              <w:jc w:val="left"/>
              <w:rPr>
                <w:rFonts w:ascii="仿宋" w:hAnsi="仿宋" w:eastAsia="仿宋" w:cs="宋体"/>
                <w:bCs/>
                <w:kern w:val="0"/>
                <w:sz w:val="24"/>
              </w:rPr>
            </w:pPr>
            <w:r>
              <w:rPr>
                <w:rFonts w:hint="eastAsia" w:ascii="仿宋" w:hAnsi="仿宋" w:eastAsia="仿宋" w:cs="宋体"/>
                <w:bCs/>
                <w:kern w:val="0"/>
                <w:sz w:val="24"/>
              </w:rPr>
              <w:t>3）培训实施：</w:t>
            </w:r>
          </w:p>
          <w:p>
            <w:pPr>
              <w:widowControl/>
              <w:jc w:val="left"/>
              <w:rPr>
                <w:rFonts w:ascii="仿宋" w:hAnsi="仿宋" w:eastAsia="仿宋" w:cs="宋体"/>
                <w:kern w:val="0"/>
                <w:sz w:val="24"/>
              </w:rPr>
            </w:pPr>
            <w:r>
              <w:rPr>
                <w:rFonts w:hint="eastAsia" w:ascii="仿宋" w:hAnsi="仿宋" w:eastAsia="仿宋" w:cs="宋体"/>
                <w:kern w:val="0"/>
                <w:sz w:val="24"/>
              </w:rPr>
              <w:t>由企业对审核通过的项目在3个月内开展培训，并在培训结束后10个工作日内将学员信息导入系统平台</w:t>
            </w:r>
          </w:p>
          <w:p>
            <w:pPr>
              <w:widowControl/>
              <w:jc w:val="left"/>
              <w:rPr>
                <w:rFonts w:ascii="仿宋" w:hAnsi="仿宋" w:eastAsia="仿宋" w:cs="宋体"/>
                <w:bCs/>
                <w:kern w:val="0"/>
                <w:sz w:val="24"/>
              </w:rPr>
            </w:pPr>
            <w:r>
              <w:rPr>
                <w:rFonts w:hint="eastAsia" w:ascii="仿宋" w:hAnsi="仿宋" w:eastAsia="仿宋" w:cs="宋体"/>
                <w:bCs/>
                <w:kern w:val="0"/>
                <w:sz w:val="24"/>
              </w:rPr>
              <w:t>4）补贴申请：</w:t>
            </w:r>
          </w:p>
          <w:p>
            <w:pPr>
              <w:widowControl/>
              <w:jc w:val="left"/>
              <w:rPr>
                <w:rFonts w:ascii="仿宋" w:hAnsi="仿宋" w:eastAsia="仿宋" w:cs="宋体"/>
                <w:kern w:val="0"/>
                <w:sz w:val="24"/>
              </w:rPr>
            </w:pPr>
            <w:r>
              <w:rPr>
                <w:rFonts w:hint="eastAsia" w:ascii="仿宋" w:hAnsi="仿宋" w:eastAsia="仿宋" w:cs="宋体"/>
                <w:kern w:val="0"/>
                <w:sz w:val="24"/>
              </w:rPr>
              <w:t>企业向街镇提交补贴申请表、参训人员花名册、法人声明书等资料进行补贴经费申请</w:t>
            </w:r>
          </w:p>
          <w:p>
            <w:pPr>
              <w:widowControl/>
              <w:jc w:val="left"/>
              <w:rPr>
                <w:rFonts w:ascii="仿宋" w:hAnsi="仿宋" w:eastAsia="仿宋" w:cs="宋体"/>
                <w:bCs/>
                <w:kern w:val="0"/>
                <w:sz w:val="24"/>
              </w:rPr>
            </w:pPr>
            <w:r>
              <w:rPr>
                <w:rFonts w:hint="eastAsia" w:ascii="仿宋" w:hAnsi="仿宋" w:eastAsia="仿宋" w:cs="宋体"/>
                <w:bCs/>
                <w:kern w:val="0"/>
                <w:sz w:val="24"/>
              </w:rPr>
              <w:t>5）经费审核</w:t>
            </w:r>
          </w:p>
          <w:p>
            <w:pPr>
              <w:widowControl/>
              <w:jc w:val="left"/>
              <w:rPr>
                <w:rFonts w:ascii="仿宋" w:hAnsi="仿宋" w:eastAsia="仿宋" w:cs="宋体"/>
                <w:kern w:val="0"/>
                <w:sz w:val="24"/>
              </w:rPr>
            </w:pPr>
            <w:r>
              <w:rPr>
                <w:rFonts w:hint="eastAsia" w:ascii="仿宋" w:hAnsi="仿宋" w:eastAsia="仿宋" w:cs="宋体"/>
                <w:kern w:val="0"/>
                <w:sz w:val="24"/>
              </w:rPr>
              <w:t>区人社部门以督导、审计等方式组织开展申请经费的核查工作（区与街镇共同实施，达到核查全覆盖），重点关注培训真实性、完整性、出勤率等</w:t>
            </w:r>
          </w:p>
          <w:p>
            <w:pPr>
              <w:widowControl/>
              <w:jc w:val="left"/>
              <w:rPr>
                <w:rFonts w:ascii="仿宋" w:hAnsi="仿宋" w:eastAsia="仿宋" w:cs="宋体"/>
                <w:kern w:val="0"/>
                <w:sz w:val="24"/>
              </w:rPr>
            </w:pPr>
            <w:r>
              <w:rPr>
                <w:rFonts w:hint="eastAsia" w:ascii="仿宋" w:hAnsi="仿宋" w:eastAsia="仿宋" w:cs="宋体"/>
                <w:kern w:val="0"/>
                <w:sz w:val="24"/>
              </w:rPr>
              <w:t>（审计：委托第三方对培训平台各功能页面的痕迹数据进行核查，并按不低于20%的比例对企业参训人员进行电话回访；督导：委托第三方在培训平台安装插件，监控注册、打卡、测试时间，防止自动化虚假培训情况）</w:t>
            </w:r>
          </w:p>
          <w:p>
            <w:pPr>
              <w:widowControl/>
              <w:jc w:val="left"/>
              <w:rPr>
                <w:rFonts w:ascii="仿宋" w:hAnsi="仿宋" w:eastAsia="仿宋" w:cs="宋体"/>
                <w:bCs/>
                <w:kern w:val="0"/>
                <w:sz w:val="24"/>
              </w:rPr>
            </w:pPr>
            <w:r>
              <w:rPr>
                <w:rFonts w:hint="eastAsia" w:ascii="仿宋" w:hAnsi="仿宋" w:eastAsia="仿宋" w:cs="宋体"/>
                <w:bCs/>
                <w:kern w:val="0"/>
                <w:sz w:val="24"/>
              </w:rPr>
              <w:t>6）资金拨付</w:t>
            </w:r>
          </w:p>
          <w:p>
            <w:pPr>
              <w:widowControl/>
              <w:jc w:val="left"/>
              <w:rPr>
                <w:rFonts w:ascii="仿宋" w:hAnsi="仿宋" w:eastAsia="仿宋" w:cs="宋体"/>
                <w:kern w:val="0"/>
                <w:sz w:val="24"/>
              </w:rPr>
            </w:pPr>
            <w:r>
              <w:rPr>
                <w:rFonts w:hint="eastAsia" w:ascii="仿宋" w:hAnsi="仿宋" w:eastAsia="仿宋" w:cs="宋体"/>
                <w:kern w:val="0"/>
                <w:sz w:val="24"/>
              </w:rPr>
              <w:t>对核查结果进行公示，确认无异议后下拨资金至企业银行账户</w:t>
            </w:r>
          </w:p>
        </w:tc>
      </w:tr>
    </w:tbl>
    <w:p>
      <w:pPr>
        <w:spacing w:line="600" w:lineRule="exact"/>
        <w:ind w:firstLine="480" w:firstLineChars="200"/>
        <w:jc w:val="center"/>
        <w:rPr>
          <w:rFonts w:ascii="仿宋" w:hAnsi="仿宋" w:eastAsia="仿宋"/>
          <w:b/>
          <w:bCs/>
          <w:sz w:val="24"/>
        </w:rPr>
        <w:sectPr>
          <w:pgSz w:w="16838" w:h="11906" w:orient="landscape"/>
          <w:pgMar w:top="1797" w:right="1440" w:bottom="1797" w:left="1440" w:header="851" w:footer="992" w:gutter="0"/>
          <w:cols w:space="425" w:num="1"/>
          <w:docGrid w:type="linesAndChars" w:linePitch="312" w:charSpace="0"/>
        </w:sectPr>
      </w:pPr>
    </w:p>
    <w:p>
      <w:pPr>
        <w:spacing w:line="600" w:lineRule="exact"/>
        <w:ind w:firstLine="560" w:firstLineChars="200"/>
        <w:rPr>
          <w:rFonts w:ascii="仿宋" w:hAnsi="仿宋" w:eastAsia="仿宋"/>
          <w:bCs/>
          <w:sz w:val="28"/>
        </w:rPr>
      </w:pPr>
      <w:r>
        <w:rPr>
          <w:rFonts w:hint="eastAsia" w:ascii="仿宋" w:hAnsi="仿宋" w:eastAsia="仿宋"/>
          <w:bCs/>
          <w:sz w:val="28"/>
        </w:rPr>
        <w:t>本市其他同类地区相关细则的主要差异如下表所示：</w:t>
      </w:r>
    </w:p>
    <w:p>
      <w:pPr>
        <w:spacing w:line="600" w:lineRule="exact"/>
        <w:ind w:firstLine="482" w:firstLineChars="200"/>
        <w:jc w:val="center"/>
        <w:rPr>
          <w:rFonts w:ascii="仿宋" w:hAnsi="仿宋" w:eastAsia="仿宋"/>
          <w:bCs/>
          <w:sz w:val="28"/>
        </w:rPr>
      </w:pPr>
      <w:r>
        <w:rPr>
          <w:rFonts w:ascii="仿宋" w:hAnsi="仿宋" w:eastAsia="仿宋"/>
          <w:b/>
          <w:bCs/>
          <w:sz w:val="24"/>
        </w:rPr>
        <w:t>表</w:t>
      </w:r>
      <w:r>
        <w:rPr>
          <w:rFonts w:hint="eastAsia" w:ascii="仿宋" w:hAnsi="仿宋" w:eastAsia="仿宋"/>
          <w:b/>
          <w:bCs/>
          <w:sz w:val="24"/>
        </w:rPr>
        <w:t>4-其他地区实施细则主要差异汇总示意表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28" w:type="pct"/>
            <w:vAlign w:val="center"/>
          </w:tcPr>
          <w:p>
            <w:pPr>
              <w:spacing w:line="360" w:lineRule="exact"/>
              <w:jc w:val="center"/>
              <w:rPr>
                <w:rFonts w:ascii="仿宋" w:hAnsi="仿宋" w:eastAsia="仿宋"/>
                <w:b/>
                <w:bCs/>
                <w:sz w:val="24"/>
              </w:rPr>
            </w:pPr>
            <w:r>
              <w:rPr>
                <w:rFonts w:hint="eastAsia" w:ascii="仿宋" w:hAnsi="仿宋" w:eastAsia="仿宋"/>
                <w:b/>
                <w:bCs/>
                <w:sz w:val="24"/>
              </w:rPr>
              <w:t>地区</w:t>
            </w:r>
          </w:p>
        </w:tc>
        <w:tc>
          <w:tcPr>
            <w:tcW w:w="3772" w:type="pct"/>
            <w:vAlign w:val="center"/>
          </w:tcPr>
          <w:p>
            <w:pPr>
              <w:spacing w:line="360" w:lineRule="exact"/>
              <w:jc w:val="center"/>
              <w:rPr>
                <w:rFonts w:ascii="仿宋" w:hAnsi="仿宋" w:eastAsia="仿宋"/>
                <w:b/>
                <w:bCs/>
                <w:sz w:val="24"/>
              </w:rPr>
            </w:pPr>
            <w:r>
              <w:rPr>
                <w:rFonts w:hint="eastAsia" w:ascii="仿宋" w:hAnsi="仿宋" w:eastAsia="仿宋"/>
                <w:b/>
                <w:bCs/>
                <w:sz w:val="24"/>
              </w:rPr>
              <w:t>特有实施细则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28" w:type="pct"/>
            <w:vAlign w:val="center"/>
          </w:tcPr>
          <w:p>
            <w:pPr>
              <w:spacing w:line="360" w:lineRule="exact"/>
              <w:jc w:val="center"/>
              <w:rPr>
                <w:rFonts w:ascii="仿宋" w:hAnsi="仿宋" w:eastAsia="仿宋"/>
                <w:bCs/>
                <w:sz w:val="24"/>
              </w:rPr>
            </w:pPr>
            <w:r>
              <w:rPr>
                <w:rFonts w:hint="eastAsia" w:ascii="仿宋" w:hAnsi="仿宋" w:eastAsia="仿宋"/>
                <w:bCs/>
                <w:sz w:val="24"/>
              </w:rPr>
              <w:t>闵行区</w:t>
            </w:r>
          </w:p>
        </w:tc>
        <w:tc>
          <w:tcPr>
            <w:tcW w:w="3772" w:type="pct"/>
            <w:vAlign w:val="center"/>
          </w:tcPr>
          <w:p>
            <w:pPr>
              <w:spacing w:line="360" w:lineRule="exact"/>
              <w:jc w:val="left"/>
              <w:rPr>
                <w:rFonts w:ascii="仿宋" w:hAnsi="仿宋" w:eastAsia="仿宋"/>
                <w:bCs/>
                <w:sz w:val="24"/>
              </w:rPr>
            </w:pPr>
            <w:r>
              <w:rPr>
                <w:rFonts w:hint="eastAsia" w:ascii="仿宋" w:hAnsi="仿宋" w:eastAsia="仿宋"/>
                <w:bCs/>
                <w:sz w:val="24"/>
              </w:rPr>
              <w:t>近2年未缴纳过地方教育附加的企业最高补贴金额30万元</w:t>
            </w:r>
          </w:p>
          <w:p>
            <w:pPr>
              <w:spacing w:line="360" w:lineRule="exact"/>
              <w:jc w:val="left"/>
              <w:rPr>
                <w:rFonts w:ascii="仿宋" w:hAnsi="仿宋" w:eastAsia="仿宋"/>
                <w:bCs/>
                <w:sz w:val="24"/>
              </w:rPr>
            </w:pPr>
            <w:r>
              <w:rPr>
                <w:rFonts w:hint="eastAsia" w:ascii="仿宋" w:hAnsi="仿宋" w:eastAsia="仿宋"/>
                <w:bCs/>
                <w:sz w:val="24"/>
              </w:rPr>
              <w:t>近2年缴纳过地方教育附加的企业最高补贴金额100万元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228" w:type="pct"/>
            <w:vAlign w:val="center"/>
          </w:tcPr>
          <w:p>
            <w:pPr>
              <w:spacing w:line="360" w:lineRule="exact"/>
              <w:jc w:val="center"/>
              <w:rPr>
                <w:rFonts w:ascii="仿宋" w:hAnsi="仿宋" w:eastAsia="仿宋"/>
                <w:bCs/>
                <w:sz w:val="24"/>
              </w:rPr>
            </w:pPr>
            <w:r>
              <w:rPr>
                <w:rFonts w:hint="eastAsia" w:ascii="仿宋" w:hAnsi="仿宋" w:eastAsia="仿宋"/>
                <w:bCs/>
                <w:sz w:val="24"/>
              </w:rPr>
              <w:t>松江区</w:t>
            </w:r>
          </w:p>
        </w:tc>
        <w:tc>
          <w:tcPr>
            <w:tcW w:w="3772" w:type="pct"/>
            <w:vAlign w:val="center"/>
          </w:tcPr>
          <w:p>
            <w:pPr>
              <w:spacing w:line="360" w:lineRule="exact"/>
              <w:jc w:val="left"/>
              <w:rPr>
                <w:rFonts w:ascii="仿宋" w:hAnsi="仿宋" w:eastAsia="仿宋"/>
                <w:bCs/>
                <w:sz w:val="24"/>
              </w:rPr>
            </w:pPr>
            <w:r>
              <w:rPr>
                <w:rFonts w:ascii="仿宋" w:hAnsi="仿宋" w:eastAsia="仿宋"/>
                <w:bCs/>
                <w:sz w:val="24"/>
              </w:rPr>
              <w:t>上年度未缴纳地方教育附加费的最高补贴总额1万元</w:t>
            </w:r>
          </w:p>
          <w:p>
            <w:pPr>
              <w:spacing w:line="360" w:lineRule="exact"/>
              <w:jc w:val="left"/>
              <w:rPr>
                <w:rFonts w:ascii="仿宋" w:hAnsi="仿宋" w:eastAsia="仿宋"/>
                <w:bCs/>
                <w:sz w:val="24"/>
              </w:rPr>
            </w:pPr>
            <w:r>
              <w:rPr>
                <w:rFonts w:ascii="仿宋" w:hAnsi="仿宋" w:eastAsia="仿宋"/>
                <w:bCs/>
                <w:sz w:val="24"/>
              </w:rPr>
              <w:t>上年度缴纳地方教育附加费的最高补贴总额100万元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228" w:type="pct"/>
            <w:vAlign w:val="center"/>
          </w:tcPr>
          <w:p>
            <w:pPr>
              <w:spacing w:line="360" w:lineRule="exact"/>
              <w:jc w:val="center"/>
              <w:rPr>
                <w:rFonts w:ascii="仿宋" w:hAnsi="仿宋" w:eastAsia="仿宋"/>
                <w:bCs/>
                <w:sz w:val="24"/>
              </w:rPr>
            </w:pPr>
            <w:r>
              <w:rPr>
                <w:rFonts w:hint="eastAsia" w:ascii="仿宋" w:hAnsi="仿宋" w:eastAsia="仿宋"/>
                <w:bCs/>
                <w:sz w:val="24"/>
              </w:rPr>
              <w:t>青浦、奉贤</w:t>
            </w:r>
          </w:p>
          <w:p>
            <w:pPr>
              <w:spacing w:line="360" w:lineRule="exact"/>
              <w:jc w:val="center"/>
              <w:rPr>
                <w:rFonts w:ascii="仿宋" w:hAnsi="仿宋" w:eastAsia="仿宋"/>
                <w:bCs/>
                <w:sz w:val="24"/>
              </w:rPr>
            </w:pPr>
            <w:r>
              <w:rPr>
                <w:rFonts w:hint="eastAsia" w:ascii="仿宋" w:hAnsi="仿宋" w:eastAsia="仿宋"/>
                <w:bCs/>
                <w:sz w:val="24"/>
              </w:rPr>
              <w:t>嘉定、浦东（南汇）</w:t>
            </w:r>
          </w:p>
        </w:tc>
        <w:tc>
          <w:tcPr>
            <w:tcW w:w="3772" w:type="pct"/>
            <w:vAlign w:val="center"/>
          </w:tcPr>
          <w:p>
            <w:pPr>
              <w:spacing w:line="360" w:lineRule="exact"/>
              <w:jc w:val="left"/>
              <w:rPr>
                <w:rFonts w:ascii="仿宋" w:hAnsi="仿宋" w:eastAsia="仿宋"/>
                <w:bCs/>
                <w:sz w:val="24"/>
              </w:rPr>
            </w:pPr>
            <w:r>
              <w:rPr>
                <w:rFonts w:hint="eastAsia" w:ascii="仿宋" w:hAnsi="仿宋" w:eastAsia="仿宋"/>
                <w:bCs/>
                <w:sz w:val="24"/>
              </w:rPr>
              <w:t>无相关要求</w:t>
            </w:r>
          </w:p>
        </w:tc>
      </w:tr>
    </w:tbl>
    <w:p>
      <w:pPr>
        <w:spacing w:line="600" w:lineRule="exact"/>
        <w:ind w:firstLine="560" w:firstLineChars="200"/>
        <w:rPr>
          <w:rFonts w:ascii="仿宋" w:hAnsi="仿宋" w:eastAsia="仿宋"/>
          <w:bCs/>
          <w:sz w:val="28"/>
        </w:rPr>
      </w:pPr>
      <w:r>
        <w:rPr>
          <w:rFonts w:hint="eastAsia" w:ascii="仿宋" w:hAnsi="仿宋" w:eastAsia="仿宋"/>
          <w:bCs/>
          <w:sz w:val="28"/>
        </w:rPr>
        <w:t>此外，评价组对委托第三方平台开展培训项目的平台收费标准（即企业职工培训成本）进行了调研（电话咨询等方式），就线上培训补贴事项的收费标准主要分布在300-500元/人次/培训项目的范围内（具体视培训人数规模、培训课程难易度、培训周期长短等要素有所波动，但一般不超过政策补贴标准，即600元/人次/培训项目）。</w:t>
      </w:r>
    </w:p>
    <w:p>
      <w:pPr>
        <w:spacing w:line="600" w:lineRule="exact"/>
        <w:ind w:firstLine="560" w:firstLineChars="200"/>
        <w:rPr>
          <w:rFonts w:ascii="仿宋" w:hAnsi="仿宋" w:eastAsia="仿宋"/>
          <w:bCs/>
          <w:sz w:val="28"/>
        </w:rPr>
      </w:pPr>
      <w:r>
        <w:rPr>
          <w:rFonts w:hint="eastAsia" w:ascii="仿宋" w:hAnsi="仿宋" w:eastAsia="仿宋"/>
          <w:bCs/>
          <w:sz w:val="28"/>
        </w:rPr>
        <w:t>2023年的具体项目内容包括：</w:t>
      </w:r>
    </w:p>
    <w:p>
      <w:pPr>
        <w:spacing w:line="600" w:lineRule="exact"/>
        <w:ind w:firstLine="562" w:firstLineChars="200"/>
        <w:rPr>
          <w:rFonts w:ascii="仿宋" w:hAnsi="仿宋" w:eastAsia="仿宋"/>
          <w:b/>
          <w:bCs/>
          <w:sz w:val="28"/>
        </w:rPr>
      </w:pPr>
      <w:r>
        <w:rPr>
          <w:rFonts w:hint="eastAsia" w:ascii="仿宋" w:hAnsi="仿宋" w:eastAsia="仿宋"/>
          <w:b/>
          <w:bCs/>
          <w:sz w:val="28"/>
        </w:rPr>
        <w:t>1.2022年培训费尾款</w:t>
      </w:r>
    </w:p>
    <w:p>
      <w:pPr>
        <w:spacing w:line="600" w:lineRule="exact"/>
        <w:ind w:firstLine="560" w:firstLineChars="200"/>
        <w:rPr>
          <w:rFonts w:ascii="仿宋" w:hAnsi="仿宋" w:eastAsia="仿宋"/>
          <w:bCs/>
          <w:sz w:val="28"/>
        </w:rPr>
      </w:pPr>
      <w:r>
        <w:rPr>
          <w:rFonts w:hint="eastAsia" w:ascii="仿宋" w:hAnsi="仿宋" w:eastAsia="仿宋"/>
          <w:bCs/>
          <w:sz w:val="28"/>
        </w:rPr>
        <w:t>对2022年1月至12月间申报开展职工线上培训的企业进行审核备案、进度跟踪、审计核查与资金拨付。当期申报企业总数为1497家，预计培训约18.208万人次，预估所需经费总量为1.09亿元。2022年度项目调整后预算2599.96万元，所需资金缺口为8300.04万元。</w:t>
      </w:r>
    </w:p>
    <w:p>
      <w:pPr>
        <w:spacing w:line="600" w:lineRule="exact"/>
        <w:ind w:firstLine="562" w:firstLineChars="200"/>
        <w:rPr>
          <w:rFonts w:ascii="仿宋" w:hAnsi="仿宋" w:eastAsia="仿宋"/>
          <w:b/>
          <w:bCs/>
          <w:sz w:val="28"/>
        </w:rPr>
      </w:pPr>
      <w:r>
        <w:rPr>
          <w:rFonts w:hint="eastAsia" w:ascii="仿宋" w:hAnsi="仿宋" w:eastAsia="仿宋"/>
          <w:b/>
          <w:bCs/>
          <w:sz w:val="28"/>
        </w:rPr>
        <w:t>2.2023年培训费</w:t>
      </w:r>
    </w:p>
    <w:p>
      <w:pPr>
        <w:spacing w:line="600" w:lineRule="exact"/>
        <w:ind w:firstLine="560" w:firstLineChars="200"/>
        <w:rPr>
          <w:rFonts w:ascii="仿宋" w:hAnsi="仿宋" w:eastAsia="仿宋"/>
          <w:bCs/>
          <w:sz w:val="28"/>
        </w:rPr>
      </w:pPr>
      <w:r>
        <w:rPr>
          <w:rFonts w:hint="eastAsia" w:ascii="仿宋" w:hAnsi="仿宋" w:eastAsia="仿宋"/>
          <w:bCs/>
          <w:sz w:val="28"/>
        </w:rPr>
        <w:t>初次申报：市级政策标准暂未明确，按每企业不超过1个培训项目，每人每项目600元的标准，以2022年申报培训人次约10%，预估培训18366人次，即所需培训费为1101.96万元。</w:t>
      </w:r>
    </w:p>
    <w:p>
      <w:pPr>
        <w:spacing w:line="600" w:lineRule="exact"/>
        <w:ind w:firstLine="560" w:firstLineChars="200"/>
        <w:rPr>
          <w:rFonts w:ascii="仿宋" w:hAnsi="仿宋" w:eastAsia="仿宋"/>
          <w:bCs/>
          <w:sz w:val="28"/>
        </w:rPr>
      </w:pPr>
      <w:r>
        <w:rPr>
          <w:rFonts w:hint="eastAsia" w:ascii="仿宋" w:hAnsi="仿宋" w:eastAsia="仿宋"/>
          <w:bCs/>
          <w:sz w:val="28"/>
        </w:rPr>
        <w:t>补充申报：以2022年预估总人次，即15.8万人次，结合预估培训项目上限（1次）和预估筛减率测算为2370万元。</w:t>
      </w:r>
    </w:p>
    <w:p>
      <w:pPr>
        <w:pStyle w:val="2"/>
        <w:ind w:firstLine="562"/>
        <w:rPr>
          <w:rFonts w:ascii="仿宋" w:hAnsi="仿宋" w:eastAsia="仿宋"/>
          <w:b/>
          <w:sz w:val="28"/>
          <w:szCs w:val="28"/>
        </w:rPr>
      </w:pPr>
      <w:r>
        <w:rPr>
          <w:rFonts w:hint="eastAsia" w:ascii="仿宋" w:hAnsi="仿宋" w:eastAsia="仿宋"/>
          <w:b/>
          <w:sz w:val="28"/>
          <w:szCs w:val="28"/>
        </w:rPr>
        <w:t>（三）项目预算</w:t>
      </w:r>
    </w:p>
    <w:p>
      <w:pPr>
        <w:spacing w:line="600" w:lineRule="exact"/>
        <w:ind w:firstLine="562" w:firstLineChars="200"/>
        <w:rPr>
          <w:rFonts w:ascii="仿宋" w:hAnsi="仿宋" w:eastAsia="仿宋"/>
          <w:b/>
          <w:bCs/>
          <w:sz w:val="28"/>
        </w:rPr>
      </w:pPr>
      <w:r>
        <w:rPr>
          <w:rFonts w:hint="eastAsia" w:ascii="仿宋" w:hAnsi="仿宋" w:eastAsia="仿宋"/>
          <w:b/>
          <w:bCs/>
          <w:sz w:val="28"/>
        </w:rPr>
        <w:t>1.2023年预算申报情况</w:t>
      </w:r>
    </w:p>
    <w:p>
      <w:pPr>
        <w:spacing w:line="600" w:lineRule="exact"/>
        <w:ind w:firstLine="560" w:firstLineChars="200"/>
        <w:rPr>
          <w:rFonts w:ascii="仿宋" w:hAnsi="仿宋" w:eastAsia="仿宋"/>
          <w:bCs/>
          <w:sz w:val="28"/>
        </w:rPr>
      </w:pPr>
      <w:r>
        <w:rPr>
          <w:rFonts w:hint="eastAsia" w:ascii="仿宋" w:hAnsi="仿宋" w:eastAsia="仿宋"/>
          <w:bCs/>
          <w:sz w:val="28"/>
        </w:rPr>
        <w:t>2023年“线上补贴培训”项目在评审会补充预算申报资料后的的申报金额为10670万元，共包含2个子项目，具体明细如下表所示：</w:t>
      </w:r>
    </w:p>
    <w:p>
      <w:pPr>
        <w:spacing w:line="600" w:lineRule="exact"/>
        <w:ind w:firstLine="482" w:firstLineChars="200"/>
        <w:jc w:val="center"/>
        <w:rPr>
          <w:rFonts w:ascii="仿宋" w:hAnsi="仿宋" w:eastAsia="仿宋"/>
          <w:b/>
          <w:bCs/>
          <w:sz w:val="24"/>
        </w:rPr>
        <w:sectPr>
          <w:pgSz w:w="11906" w:h="16838"/>
          <w:pgMar w:top="1440" w:right="1800" w:bottom="1440" w:left="1800" w:header="851" w:footer="992" w:gutter="0"/>
          <w:cols w:space="425" w:num="1"/>
          <w:docGrid w:type="lines" w:linePitch="312" w:charSpace="0"/>
        </w:sectPr>
      </w:pPr>
    </w:p>
    <w:p>
      <w:pPr>
        <w:spacing w:line="600" w:lineRule="exact"/>
        <w:ind w:firstLine="480" w:firstLineChars="200"/>
        <w:jc w:val="center"/>
        <w:rPr>
          <w:rFonts w:ascii="仿宋" w:hAnsi="仿宋" w:eastAsia="仿宋"/>
          <w:b/>
          <w:bCs/>
          <w:sz w:val="24"/>
        </w:rPr>
      </w:pPr>
      <w:r>
        <w:rPr>
          <w:rFonts w:hint="eastAsia" w:ascii="仿宋" w:hAnsi="仿宋" w:eastAsia="仿宋"/>
          <w:b/>
          <w:bCs/>
          <w:sz w:val="24"/>
        </w:rPr>
        <w:t>表5-预算明细表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206"/>
        <w:gridCol w:w="1549"/>
        <w:gridCol w:w="1407"/>
        <w:gridCol w:w="1184"/>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9" w:type="pct"/>
            <w:vMerge w:val="restart"/>
            <w:vAlign w:val="center"/>
          </w:tcPr>
          <w:p>
            <w:pPr>
              <w:spacing w:line="360" w:lineRule="exact"/>
              <w:jc w:val="center"/>
              <w:rPr>
                <w:rFonts w:ascii="仿宋" w:hAnsi="仿宋" w:eastAsia="仿宋"/>
                <w:b/>
                <w:bCs/>
                <w:sz w:val="24"/>
              </w:rPr>
            </w:pPr>
            <w:r>
              <w:rPr>
                <w:rFonts w:hint="eastAsia" w:ascii="仿宋" w:hAnsi="仿宋" w:eastAsia="仿宋"/>
                <w:b/>
                <w:bCs/>
                <w:sz w:val="24"/>
              </w:rPr>
              <w:t>预算内容</w:t>
            </w:r>
          </w:p>
        </w:tc>
        <w:tc>
          <w:tcPr>
            <w:tcW w:w="429" w:type="pct"/>
            <w:vMerge w:val="restart"/>
            <w:vAlign w:val="center"/>
          </w:tcPr>
          <w:p>
            <w:pPr>
              <w:spacing w:line="360" w:lineRule="exact"/>
              <w:jc w:val="center"/>
              <w:rPr>
                <w:rFonts w:ascii="仿宋" w:hAnsi="仿宋" w:eastAsia="仿宋"/>
                <w:b/>
                <w:bCs/>
                <w:sz w:val="24"/>
              </w:rPr>
            </w:pPr>
            <w:r>
              <w:rPr>
                <w:rFonts w:hint="eastAsia" w:ascii="仿宋" w:hAnsi="仿宋" w:eastAsia="仿宋"/>
                <w:b/>
                <w:bCs/>
                <w:sz w:val="24"/>
              </w:rPr>
              <w:t>原始</w:t>
            </w:r>
          </w:p>
          <w:p>
            <w:pPr>
              <w:spacing w:line="360" w:lineRule="exact"/>
              <w:jc w:val="center"/>
              <w:rPr>
                <w:rFonts w:ascii="仿宋" w:hAnsi="仿宋" w:eastAsia="仿宋"/>
                <w:b/>
                <w:bCs/>
                <w:sz w:val="24"/>
              </w:rPr>
            </w:pPr>
            <w:r>
              <w:rPr>
                <w:rFonts w:hint="eastAsia" w:ascii="仿宋" w:hAnsi="仿宋" w:eastAsia="仿宋"/>
                <w:b/>
                <w:bCs/>
                <w:sz w:val="24"/>
              </w:rPr>
              <w:t>申报</w:t>
            </w:r>
          </w:p>
          <w:p>
            <w:pPr>
              <w:spacing w:line="360" w:lineRule="exact"/>
              <w:jc w:val="center"/>
              <w:rPr>
                <w:rFonts w:ascii="仿宋" w:hAnsi="仿宋" w:eastAsia="仿宋"/>
                <w:b/>
                <w:bCs/>
                <w:sz w:val="24"/>
              </w:rPr>
            </w:pPr>
            <w:r>
              <w:rPr>
                <w:rFonts w:hint="eastAsia" w:ascii="仿宋" w:hAnsi="仿宋" w:eastAsia="仿宋"/>
                <w:b/>
                <w:bCs/>
                <w:sz w:val="24"/>
              </w:rPr>
              <w:t>金额</w:t>
            </w:r>
          </w:p>
          <w:p>
            <w:pPr>
              <w:spacing w:line="360" w:lineRule="exact"/>
              <w:jc w:val="center"/>
              <w:rPr>
                <w:rFonts w:ascii="仿宋" w:hAnsi="仿宋" w:eastAsia="仿宋"/>
                <w:b/>
                <w:bCs/>
                <w:sz w:val="24"/>
              </w:rPr>
            </w:pPr>
            <w:r>
              <w:rPr>
                <w:rFonts w:hint="eastAsia" w:ascii="仿宋" w:hAnsi="仿宋" w:eastAsia="仿宋"/>
                <w:b/>
                <w:bCs/>
                <w:sz w:val="24"/>
              </w:rPr>
              <w:t>（万元）</w:t>
            </w:r>
          </w:p>
        </w:tc>
        <w:tc>
          <w:tcPr>
            <w:tcW w:w="1450" w:type="pct"/>
            <w:gridSpan w:val="3"/>
            <w:vAlign w:val="center"/>
          </w:tcPr>
          <w:p>
            <w:pPr>
              <w:spacing w:line="360" w:lineRule="exact"/>
              <w:jc w:val="center"/>
              <w:rPr>
                <w:rFonts w:ascii="仿宋" w:hAnsi="仿宋" w:eastAsia="仿宋"/>
                <w:b/>
                <w:bCs/>
                <w:sz w:val="24"/>
              </w:rPr>
            </w:pPr>
            <w:r>
              <w:rPr>
                <w:rFonts w:ascii="仿宋" w:hAnsi="仿宋" w:eastAsia="仿宋"/>
                <w:b/>
                <w:bCs/>
                <w:sz w:val="24"/>
              </w:rPr>
              <w:t>补充申报情况</w:t>
            </w:r>
          </w:p>
        </w:tc>
        <w:tc>
          <w:tcPr>
            <w:tcW w:w="2612" w:type="pct"/>
            <w:vMerge w:val="restart"/>
            <w:vAlign w:val="center"/>
          </w:tcPr>
          <w:p>
            <w:pPr>
              <w:spacing w:line="360" w:lineRule="exact"/>
              <w:jc w:val="center"/>
              <w:rPr>
                <w:rFonts w:ascii="仿宋" w:hAnsi="仿宋" w:eastAsia="仿宋"/>
                <w:b/>
                <w:bCs/>
                <w:sz w:val="24"/>
              </w:rPr>
            </w:pPr>
            <w:r>
              <w:rPr>
                <w:rFonts w:hint="eastAsia" w:ascii="仿宋" w:hAnsi="仿宋" w:eastAsia="仿宋"/>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09" w:type="pct"/>
            <w:vMerge w:val="continue"/>
            <w:vAlign w:val="center"/>
          </w:tcPr>
          <w:p>
            <w:pPr>
              <w:spacing w:line="360" w:lineRule="exact"/>
              <w:jc w:val="center"/>
              <w:rPr>
                <w:rFonts w:ascii="仿宋" w:hAnsi="仿宋" w:eastAsia="仿宋"/>
                <w:b/>
                <w:bCs/>
                <w:sz w:val="24"/>
              </w:rPr>
            </w:pPr>
          </w:p>
        </w:tc>
        <w:tc>
          <w:tcPr>
            <w:tcW w:w="429" w:type="pct"/>
            <w:vMerge w:val="continue"/>
            <w:vAlign w:val="center"/>
          </w:tcPr>
          <w:p>
            <w:pPr>
              <w:spacing w:line="360" w:lineRule="exact"/>
              <w:jc w:val="center"/>
              <w:rPr>
                <w:rFonts w:ascii="仿宋" w:hAnsi="仿宋" w:eastAsia="仿宋"/>
                <w:b/>
                <w:bCs/>
                <w:sz w:val="24"/>
              </w:rPr>
            </w:pPr>
          </w:p>
        </w:tc>
        <w:tc>
          <w:tcPr>
            <w:tcW w:w="550" w:type="pct"/>
            <w:vAlign w:val="center"/>
          </w:tcPr>
          <w:p>
            <w:pPr>
              <w:spacing w:line="360" w:lineRule="exact"/>
              <w:jc w:val="center"/>
              <w:rPr>
                <w:rFonts w:ascii="仿宋" w:hAnsi="仿宋" w:eastAsia="仿宋"/>
                <w:b/>
                <w:bCs/>
                <w:sz w:val="24"/>
              </w:rPr>
            </w:pPr>
            <w:r>
              <w:rPr>
                <w:rFonts w:hint="eastAsia" w:ascii="仿宋" w:hAnsi="仿宋" w:eastAsia="仿宋"/>
                <w:b/>
                <w:bCs/>
                <w:sz w:val="24"/>
              </w:rPr>
              <w:t>单价</w:t>
            </w:r>
          </w:p>
          <w:p>
            <w:pPr>
              <w:spacing w:line="360" w:lineRule="exact"/>
              <w:jc w:val="center"/>
              <w:rPr>
                <w:rFonts w:ascii="仿宋" w:hAnsi="仿宋" w:eastAsia="仿宋"/>
                <w:b/>
                <w:bCs/>
                <w:sz w:val="24"/>
              </w:rPr>
            </w:pPr>
            <w:r>
              <w:rPr>
                <w:rFonts w:hint="eastAsia" w:ascii="仿宋" w:hAnsi="仿宋" w:eastAsia="仿宋"/>
                <w:b/>
                <w:bCs/>
                <w:sz w:val="24"/>
              </w:rPr>
              <w:t>（元/人/次）</w:t>
            </w:r>
          </w:p>
        </w:tc>
        <w:tc>
          <w:tcPr>
            <w:tcW w:w="500" w:type="pct"/>
            <w:vAlign w:val="center"/>
          </w:tcPr>
          <w:p>
            <w:pPr>
              <w:spacing w:line="360" w:lineRule="exact"/>
              <w:jc w:val="center"/>
              <w:rPr>
                <w:rFonts w:ascii="仿宋" w:hAnsi="仿宋" w:eastAsia="仿宋"/>
                <w:b/>
                <w:bCs/>
                <w:sz w:val="24"/>
              </w:rPr>
            </w:pPr>
            <w:r>
              <w:rPr>
                <w:rFonts w:hint="eastAsia" w:ascii="仿宋" w:hAnsi="仿宋" w:eastAsia="仿宋"/>
                <w:b/>
                <w:bCs/>
                <w:sz w:val="24"/>
              </w:rPr>
              <w:t>数量</w:t>
            </w:r>
          </w:p>
          <w:p>
            <w:pPr>
              <w:spacing w:line="360" w:lineRule="exact"/>
              <w:jc w:val="center"/>
              <w:rPr>
                <w:rFonts w:ascii="仿宋" w:hAnsi="仿宋" w:eastAsia="仿宋"/>
                <w:b/>
                <w:bCs/>
                <w:sz w:val="24"/>
              </w:rPr>
            </w:pPr>
            <w:r>
              <w:rPr>
                <w:rFonts w:hint="eastAsia" w:ascii="仿宋" w:hAnsi="仿宋" w:eastAsia="仿宋"/>
                <w:b/>
                <w:bCs/>
                <w:sz w:val="24"/>
              </w:rPr>
              <w:t>（人次）</w:t>
            </w:r>
          </w:p>
        </w:tc>
        <w:tc>
          <w:tcPr>
            <w:tcW w:w="400" w:type="pct"/>
            <w:vAlign w:val="center"/>
          </w:tcPr>
          <w:p>
            <w:pPr>
              <w:spacing w:line="360" w:lineRule="exact"/>
              <w:jc w:val="center"/>
              <w:rPr>
                <w:rFonts w:ascii="仿宋" w:hAnsi="仿宋" w:eastAsia="仿宋"/>
                <w:b/>
                <w:bCs/>
                <w:sz w:val="24"/>
              </w:rPr>
            </w:pPr>
            <w:r>
              <w:rPr>
                <w:rFonts w:ascii="仿宋" w:hAnsi="仿宋" w:eastAsia="仿宋"/>
                <w:b/>
                <w:bCs/>
                <w:sz w:val="24"/>
              </w:rPr>
              <w:t>金额</w:t>
            </w:r>
          </w:p>
          <w:p>
            <w:pPr>
              <w:spacing w:line="360" w:lineRule="exact"/>
              <w:jc w:val="center"/>
              <w:rPr>
                <w:rFonts w:ascii="仿宋" w:hAnsi="仿宋" w:eastAsia="仿宋"/>
                <w:b/>
                <w:bCs/>
                <w:sz w:val="24"/>
              </w:rPr>
            </w:pPr>
            <w:r>
              <w:rPr>
                <w:rFonts w:hint="eastAsia" w:ascii="仿宋" w:hAnsi="仿宋" w:eastAsia="仿宋"/>
                <w:b/>
                <w:bCs/>
                <w:sz w:val="24"/>
              </w:rPr>
              <w:t>（万元）</w:t>
            </w:r>
          </w:p>
        </w:tc>
        <w:tc>
          <w:tcPr>
            <w:tcW w:w="2612" w:type="pct"/>
            <w:vMerge w:val="continue"/>
            <w:vAlign w:val="center"/>
          </w:tcPr>
          <w:p>
            <w:pPr>
              <w:spacing w:line="360" w:lineRule="exact"/>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509" w:type="pct"/>
            <w:vAlign w:val="center"/>
          </w:tcPr>
          <w:p>
            <w:pPr>
              <w:spacing w:line="360" w:lineRule="exact"/>
              <w:jc w:val="center"/>
              <w:rPr>
                <w:rFonts w:ascii="仿宋" w:hAnsi="仿宋" w:eastAsia="仿宋"/>
                <w:bCs/>
                <w:sz w:val="24"/>
              </w:rPr>
            </w:pPr>
            <w:r>
              <w:rPr>
                <w:rFonts w:hint="eastAsia" w:ascii="仿宋" w:hAnsi="仿宋" w:eastAsia="仿宋"/>
                <w:bCs/>
                <w:sz w:val="24"/>
              </w:rPr>
              <w:t>2022年</w:t>
            </w:r>
          </w:p>
          <w:p>
            <w:pPr>
              <w:spacing w:line="360" w:lineRule="exact"/>
              <w:jc w:val="center"/>
              <w:rPr>
                <w:rFonts w:ascii="仿宋" w:hAnsi="仿宋" w:eastAsia="仿宋"/>
                <w:bCs/>
                <w:sz w:val="24"/>
              </w:rPr>
            </w:pPr>
            <w:r>
              <w:rPr>
                <w:rFonts w:hint="eastAsia" w:ascii="仿宋" w:hAnsi="仿宋" w:eastAsia="仿宋"/>
                <w:bCs/>
                <w:sz w:val="24"/>
              </w:rPr>
              <w:t>培训费补贴</w:t>
            </w:r>
          </w:p>
          <w:p>
            <w:pPr>
              <w:spacing w:line="360" w:lineRule="exact"/>
              <w:jc w:val="center"/>
              <w:rPr>
                <w:rFonts w:ascii="仿宋" w:hAnsi="仿宋" w:eastAsia="仿宋"/>
                <w:bCs/>
                <w:sz w:val="24"/>
              </w:rPr>
            </w:pPr>
            <w:r>
              <w:rPr>
                <w:rFonts w:hint="eastAsia" w:ascii="仿宋" w:hAnsi="仿宋" w:eastAsia="仿宋"/>
                <w:bCs/>
                <w:sz w:val="24"/>
              </w:rPr>
              <w:t>（尾款）</w:t>
            </w:r>
          </w:p>
        </w:tc>
        <w:tc>
          <w:tcPr>
            <w:tcW w:w="429" w:type="pct"/>
            <w:vAlign w:val="center"/>
          </w:tcPr>
          <w:p>
            <w:pPr>
              <w:spacing w:line="360" w:lineRule="exact"/>
              <w:jc w:val="center"/>
              <w:rPr>
                <w:rFonts w:ascii="仿宋" w:hAnsi="仿宋" w:eastAsia="仿宋"/>
                <w:bCs/>
                <w:sz w:val="24"/>
              </w:rPr>
            </w:pPr>
            <w:r>
              <w:rPr>
                <w:rFonts w:hint="eastAsia" w:ascii="仿宋" w:hAnsi="仿宋" w:eastAsia="仿宋"/>
                <w:bCs/>
                <w:sz w:val="24"/>
              </w:rPr>
              <w:t>8300.04</w:t>
            </w:r>
          </w:p>
        </w:tc>
        <w:tc>
          <w:tcPr>
            <w:tcW w:w="550" w:type="pct"/>
            <w:vAlign w:val="center"/>
          </w:tcPr>
          <w:p>
            <w:pPr>
              <w:spacing w:line="360" w:lineRule="exact"/>
              <w:jc w:val="center"/>
              <w:rPr>
                <w:rFonts w:ascii="仿宋" w:hAnsi="仿宋" w:eastAsia="仿宋"/>
                <w:bCs/>
                <w:sz w:val="24"/>
              </w:rPr>
            </w:pPr>
            <w:r>
              <w:rPr>
                <w:rFonts w:hint="eastAsia" w:ascii="仿宋" w:hAnsi="仿宋" w:eastAsia="仿宋"/>
                <w:bCs/>
                <w:sz w:val="24"/>
              </w:rPr>
              <w:t>600</w:t>
            </w:r>
          </w:p>
        </w:tc>
        <w:tc>
          <w:tcPr>
            <w:tcW w:w="500" w:type="pct"/>
            <w:vAlign w:val="center"/>
          </w:tcPr>
          <w:p>
            <w:pPr>
              <w:spacing w:line="360" w:lineRule="exact"/>
              <w:jc w:val="center"/>
              <w:rPr>
                <w:rFonts w:ascii="仿宋" w:hAnsi="仿宋" w:eastAsia="仿宋"/>
                <w:bCs/>
                <w:sz w:val="24"/>
              </w:rPr>
            </w:pPr>
            <w:r>
              <w:rPr>
                <w:rFonts w:hint="eastAsia" w:ascii="仿宋" w:hAnsi="仿宋" w:eastAsia="仿宋"/>
                <w:bCs/>
                <w:sz w:val="24"/>
              </w:rPr>
              <w:t>138334</w:t>
            </w:r>
          </w:p>
        </w:tc>
        <w:tc>
          <w:tcPr>
            <w:tcW w:w="400" w:type="pct"/>
            <w:vAlign w:val="center"/>
          </w:tcPr>
          <w:p>
            <w:pPr>
              <w:spacing w:line="360" w:lineRule="exact"/>
              <w:jc w:val="center"/>
              <w:rPr>
                <w:rFonts w:ascii="仿宋" w:hAnsi="仿宋" w:eastAsia="仿宋"/>
                <w:bCs/>
                <w:sz w:val="24"/>
              </w:rPr>
            </w:pPr>
            <w:r>
              <w:rPr>
                <w:rFonts w:hint="eastAsia" w:ascii="仿宋" w:hAnsi="仿宋" w:eastAsia="仿宋"/>
                <w:bCs/>
                <w:sz w:val="24"/>
              </w:rPr>
              <w:t>8300.04</w:t>
            </w:r>
          </w:p>
        </w:tc>
        <w:tc>
          <w:tcPr>
            <w:tcW w:w="2612" w:type="pct"/>
            <w:vAlign w:val="center"/>
          </w:tcPr>
          <w:p>
            <w:pPr>
              <w:spacing w:line="360" w:lineRule="exact"/>
              <w:jc w:val="left"/>
              <w:rPr>
                <w:rFonts w:ascii="仿宋" w:hAnsi="仿宋" w:eastAsia="仿宋"/>
                <w:bCs/>
                <w:sz w:val="24"/>
              </w:rPr>
            </w:pPr>
            <w:r>
              <w:rPr>
                <w:rFonts w:hint="eastAsia" w:ascii="仿宋" w:hAnsi="仿宋" w:eastAsia="仿宋"/>
                <w:bCs/>
                <w:sz w:val="24"/>
              </w:rPr>
              <w:t>截至2022年8月底，申请备案企业1497家，培训人次18.208万，测算所需资金总量1.09亿元。</w:t>
            </w:r>
          </w:p>
          <w:p>
            <w:pPr>
              <w:spacing w:line="360" w:lineRule="exact"/>
              <w:jc w:val="left"/>
              <w:rPr>
                <w:rFonts w:ascii="仿宋" w:hAnsi="仿宋" w:eastAsia="仿宋"/>
                <w:bCs/>
                <w:sz w:val="24"/>
              </w:rPr>
            </w:pPr>
            <w:r>
              <w:rPr>
                <w:rFonts w:hint="eastAsia" w:ascii="仿宋" w:hAnsi="仿宋" w:eastAsia="仿宋"/>
                <w:bCs/>
                <w:sz w:val="24"/>
              </w:rPr>
              <w:t>2022年年初预算699.96万元，于10月申请追加当年度预算1900万元（区府审批中），按此测算资金缺口=1.09亿元-699.96万元-1900万元=8300.04万元，需在2023年拨付，对应138334人次。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509" w:type="pct"/>
            <w:vAlign w:val="center"/>
          </w:tcPr>
          <w:p>
            <w:pPr>
              <w:spacing w:line="360" w:lineRule="exact"/>
              <w:jc w:val="center"/>
              <w:rPr>
                <w:rFonts w:ascii="仿宋" w:hAnsi="仿宋" w:eastAsia="仿宋"/>
                <w:bCs/>
                <w:sz w:val="24"/>
              </w:rPr>
            </w:pPr>
            <w:r>
              <w:rPr>
                <w:rFonts w:hint="eastAsia" w:ascii="仿宋" w:hAnsi="仿宋" w:eastAsia="仿宋"/>
                <w:bCs/>
                <w:sz w:val="24"/>
              </w:rPr>
              <w:t>2023年</w:t>
            </w:r>
          </w:p>
          <w:p>
            <w:pPr>
              <w:spacing w:line="360" w:lineRule="exact"/>
              <w:jc w:val="center"/>
              <w:rPr>
                <w:rFonts w:ascii="仿宋" w:hAnsi="仿宋" w:eastAsia="仿宋"/>
                <w:bCs/>
                <w:sz w:val="24"/>
              </w:rPr>
            </w:pPr>
            <w:r>
              <w:rPr>
                <w:rFonts w:hint="eastAsia" w:ascii="仿宋" w:hAnsi="仿宋" w:eastAsia="仿宋"/>
                <w:bCs/>
                <w:sz w:val="24"/>
              </w:rPr>
              <w:t>培训费补贴</w:t>
            </w:r>
          </w:p>
        </w:tc>
        <w:tc>
          <w:tcPr>
            <w:tcW w:w="429" w:type="pct"/>
            <w:vAlign w:val="center"/>
          </w:tcPr>
          <w:p>
            <w:pPr>
              <w:spacing w:line="360" w:lineRule="exact"/>
              <w:jc w:val="center"/>
              <w:rPr>
                <w:rFonts w:ascii="仿宋" w:hAnsi="仿宋" w:eastAsia="仿宋"/>
                <w:bCs/>
                <w:sz w:val="24"/>
              </w:rPr>
            </w:pPr>
            <w:r>
              <w:rPr>
                <w:rFonts w:hint="eastAsia" w:ascii="仿宋" w:hAnsi="仿宋" w:eastAsia="仿宋"/>
                <w:bCs/>
                <w:sz w:val="24"/>
              </w:rPr>
              <w:t>1101.96</w:t>
            </w:r>
          </w:p>
        </w:tc>
        <w:tc>
          <w:tcPr>
            <w:tcW w:w="550" w:type="pct"/>
            <w:vAlign w:val="center"/>
          </w:tcPr>
          <w:p>
            <w:pPr>
              <w:spacing w:line="360" w:lineRule="exact"/>
              <w:jc w:val="center"/>
              <w:rPr>
                <w:rFonts w:ascii="仿宋" w:hAnsi="仿宋" w:eastAsia="仿宋"/>
                <w:bCs/>
                <w:sz w:val="24"/>
              </w:rPr>
            </w:pPr>
            <w:r>
              <w:rPr>
                <w:rFonts w:hint="eastAsia" w:ascii="仿宋" w:hAnsi="仿宋" w:eastAsia="仿宋"/>
                <w:bCs/>
                <w:sz w:val="24"/>
              </w:rPr>
              <w:t>600</w:t>
            </w:r>
          </w:p>
        </w:tc>
        <w:tc>
          <w:tcPr>
            <w:tcW w:w="500" w:type="pct"/>
            <w:vAlign w:val="center"/>
          </w:tcPr>
          <w:p>
            <w:pPr>
              <w:spacing w:line="360" w:lineRule="exact"/>
              <w:jc w:val="center"/>
              <w:rPr>
                <w:rFonts w:ascii="仿宋" w:hAnsi="仿宋" w:eastAsia="仿宋"/>
                <w:bCs/>
                <w:sz w:val="24"/>
              </w:rPr>
            </w:pPr>
            <w:r>
              <w:rPr>
                <w:rFonts w:hint="eastAsia" w:ascii="仿宋" w:hAnsi="仿宋" w:eastAsia="仿宋"/>
                <w:bCs/>
                <w:sz w:val="24"/>
              </w:rPr>
              <w:t>39500</w:t>
            </w:r>
          </w:p>
        </w:tc>
        <w:tc>
          <w:tcPr>
            <w:tcW w:w="400" w:type="pct"/>
            <w:vAlign w:val="center"/>
          </w:tcPr>
          <w:p>
            <w:pPr>
              <w:spacing w:line="360" w:lineRule="exact"/>
              <w:jc w:val="center"/>
              <w:rPr>
                <w:rFonts w:ascii="仿宋" w:hAnsi="仿宋" w:eastAsia="仿宋"/>
                <w:bCs/>
                <w:sz w:val="24"/>
              </w:rPr>
            </w:pPr>
            <w:r>
              <w:rPr>
                <w:rFonts w:hint="eastAsia" w:ascii="仿宋" w:hAnsi="仿宋" w:eastAsia="仿宋"/>
                <w:bCs/>
                <w:sz w:val="24"/>
              </w:rPr>
              <w:t>2370</w:t>
            </w:r>
          </w:p>
        </w:tc>
        <w:tc>
          <w:tcPr>
            <w:tcW w:w="2612" w:type="pct"/>
            <w:vAlign w:val="center"/>
          </w:tcPr>
          <w:p>
            <w:pPr>
              <w:spacing w:line="360" w:lineRule="exact"/>
              <w:jc w:val="left"/>
              <w:rPr>
                <w:rFonts w:ascii="仿宋" w:hAnsi="仿宋" w:eastAsia="仿宋"/>
                <w:b/>
                <w:bCs/>
                <w:sz w:val="24"/>
              </w:rPr>
            </w:pPr>
            <w:r>
              <w:rPr>
                <w:rFonts w:hint="eastAsia" w:ascii="仿宋" w:hAnsi="仿宋" w:eastAsia="仿宋"/>
                <w:b/>
                <w:bCs/>
                <w:sz w:val="24"/>
              </w:rPr>
              <w:t>1）原始申报金额1101.96万元：</w:t>
            </w:r>
          </w:p>
          <w:p>
            <w:pPr>
              <w:spacing w:line="360" w:lineRule="exact"/>
              <w:jc w:val="left"/>
              <w:rPr>
                <w:rFonts w:ascii="仿宋" w:hAnsi="仿宋" w:eastAsia="仿宋"/>
                <w:bCs/>
                <w:sz w:val="24"/>
              </w:rPr>
            </w:pPr>
            <w:r>
              <w:rPr>
                <w:rFonts w:hint="eastAsia" w:ascii="仿宋" w:hAnsi="仿宋" w:eastAsia="仿宋"/>
                <w:bCs/>
                <w:sz w:val="24"/>
              </w:rPr>
              <w:t>结合疫情现状、复工情况，按2022年申请备案企业培训人次（8月）的10%预估2023年培训人次18366人次。</w:t>
            </w:r>
          </w:p>
          <w:p>
            <w:pPr>
              <w:spacing w:line="360" w:lineRule="exact"/>
              <w:jc w:val="left"/>
              <w:rPr>
                <w:rFonts w:ascii="仿宋" w:hAnsi="仿宋" w:eastAsia="仿宋"/>
                <w:b/>
                <w:bCs/>
                <w:sz w:val="24"/>
              </w:rPr>
            </w:pPr>
            <w:r>
              <w:rPr>
                <w:rFonts w:hint="eastAsia" w:ascii="仿宋" w:hAnsi="仿宋" w:eastAsia="仿宋"/>
                <w:b/>
                <w:bCs/>
                <w:sz w:val="24"/>
              </w:rPr>
              <w:t>2）补充申报金额2370万元：</w:t>
            </w:r>
          </w:p>
          <w:p>
            <w:pPr>
              <w:spacing w:line="360" w:lineRule="exact"/>
              <w:jc w:val="left"/>
              <w:rPr>
                <w:rFonts w:ascii="仿宋" w:hAnsi="仿宋" w:eastAsia="仿宋"/>
                <w:bCs/>
                <w:sz w:val="24"/>
              </w:rPr>
            </w:pPr>
            <w:r>
              <w:rPr>
                <w:rFonts w:hint="eastAsia" w:ascii="仿宋" w:hAnsi="仿宋" w:eastAsia="仿宋"/>
                <w:bCs/>
                <w:sz w:val="24"/>
              </w:rPr>
              <w:t>按1次/企业/年和600元/人次的标准，参照2022年预估培训人次15.8万的三分之一（预计每企业上限1次）及预计筛减率25%测算，所需经费约为600元/人次×15.8/3万人次×（1-25%）=2370万元。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09" w:type="pct"/>
            <w:vAlign w:val="center"/>
          </w:tcPr>
          <w:p>
            <w:pPr>
              <w:spacing w:line="360" w:lineRule="exact"/>
              <w:jc w:val="center"/>
              <w:rPr>
                <w:rFonts w:ascii="仿宋" w:hAnsi="仿宋" w:eastAsia="仿宋"/>
                <w:b/>
                <w:bCs/>
                <w:sz w:val="24"/>
              </w:rPr>
            </w:pPr>
            <w:r>
              <w:rPr>
                <w:rFonts w:hint="eastAsia" w:ascii="仿宋" w:hAnsi="仿宋" w:eastAsia="仿宋"/>
                <w:b/>
                <w:bCs/>
                <w:sz w:val="24"/>
              </w:rPr>
              <w:t>合计</w:t>
            </w:r>
          </w:p>
        </w:tc>
        <w:tc>
          <w:tcPr>
            <w:tcW w:w="429" w:type="pct"/>
            <w:vAlign w:val="center"/>
          </w:tcPr>
          <w:p>
            <w:pPr>
              <w:spacing w:line="360" w:lineRule="exact"/>
              <w:jc w:val="center"/>
              <w:rPr>
                <w:rFonts w:ascii="仿宋" w:hAnsi="仿宋" w:eastAsia="仿宋"/>
                <w:b/>
                <w:bCs/>
                <w:sz w:val="24"/>
              </w:rPr>
            </w:pPr>
            <w:r>
              <w:rPr>
                <w:rFonts w:hint="eastAsia" w:ascii="仿宋" w:hAnsi="仿宋" w:eastAsia="仿宋"/>
                <w:b/>
                <w:bCs/>
                <w:sz w:val="24"/>
              </w:rPr>
              <w:t>9402.00</w:t>
            </w:r>
          </w:p>
        </w:tc>
        <w:tc>
          <w:tcPr>
            <w:tcW w:w="550" w:type="pct"/>
            <w:vAlign w:val="center"/>
          </w:tcPr>
          <w:p>
            <w:pPr>
              <w:spacing w:line="360" w:lineRule="exact"/>
              <w:jc w:val="center"/>
              <w:rPr>
                <w:rFonts w:ascii="仿宋" w:hAnsi="仿宋" w:eastAsia="仿宋"/>
                <w:b/>
                <w:bCs/>
                <w:sz w:val="24"/>
              </w:rPr>
            </w:pPr>
            <w:r>
              <w:rPr>
                <w:rFonts w:ascii="仿宋" w:hAnsi="仿宋" w:eastAsia="仿宋"/>
                <w:b/>
                <w:bCs/>
                <w:sz w:val="24"/>
              </w:rPr>
              <w:t>-</w:t>
            </w:r>
          </w:p>
        </w:tc>
        <w:tc>
          <w:tcPr>
            <w:tcW w:w="500" w:type="pct"/>
            <w:vAlign w:val="center"/>
          </w:tcPr>
          <w:p>
            <w:pPr>
              <w:spacing w:line="360" w:lineRule="exact"/>
              <w:jc w:val="center"/>
              <w:rPr>
                <w:rFonts w:ascii="仿宋" w:hAnsi="仿宋" w:eastAsia="仿宋"/>
                <w:b/>
                <w:bCs/>
                <w:sz w:val="24"/>
              </w:rPr>
            </w:pPr>
            <w:r>
              <w:rPr>
                <w:rFonts w:ascii="仿宋" w:hAnsi="仿宋" w:eastAsia="仿宋"/>
                <w:b/>
                <w:bCs/>
                <w:sz w:val="24"/>
              </w:rPr>
              <w:t>-</w:t>
            </w:r>
          </w:p>
        </w:tc>
        <w:tc>
          <w:tcPr>
            <w:tcW w:w="400" w:type="pct"/>
            <w:vAlign w:val="center"/>
          </w:tcPr>
          <w:p>
            <w:pPr>
              <w:spacing w:line="360" w:lineRule="exact"/>
              <w:jc w:val="center"/>
              <w:rPr>
                <w:rFonts w:ascii="仿宋" w:hAnsi="仿宋" w:eastAsia="仿宋"/>
                <w:b/>
                <w:bCs/>
                <w:sz w:val="24"/>
              </w:rPr>
            </w:pPr>
            <w:r>
              <w:rPr>
                <w:rFonts w:hint="eastAsia" w:ascii="仿宋" w:hAnsi="仿宋" w:eastAsia="仿宋"/>
                <w:b/>
                <w:bCs/>
                <w:sz w:val="24"/>
              </w:rPr>
              <w:t>10670.04</w:t>
            </w:r>
          </w:p>
        </w:tc>
        <w:tc>
          <w:tcPr>
            <w:tcW w:w="2612" w:type="pct"/>
            <w:vAlign w:val="center"/>
          </w:tcPr>
          <w:p>
            <w:pPr>
              <w:spacing w:line="360" w:lineRule="exact"/>
              <w:jc w:val="left"/>
              <w:rPr>
                <w:rFonts w:ascii="仿宋" w:hAnsi="仿宋" w:eastAsia="仿宋"/>
                <w:b/>
                <w:bCs/>
                <w:sz w:val="24"/>
              </w:rPr>
            </w:pPr>
            <w:r>
              <w:rPr>
                <w:rFonts w:hint="eastAsia" w:ascii="仿宋" w:hAnsi="仿宋" w:eastAsia="仿宋"/>
                <w:b/>
                <w:bCs/>
                <w:sz w:val="24"/>
              </w:rPr>
              <w:t>-</w:t>
            </w:r>
          </w:p>
        </w:tc>
      </w:tr>
    </w:tbl>
    <w:p>
      <w:pPr>
        <w:spacing w:line="600" w:lineRule="exact"/>
        <w:ind w:firstLine="560" w:firstLineChars="200"/>
        <w:rPr>
          <w:rFonts w:ascii="仿宋" w:hAnsi="仿宋" w:eastAsia="仿宋"/>
          <w:bCs/>
          <w:sz w:val="28"/>
        </w:rPr>
        <w:sectPr>
          <w:pgSz w:w="16838" w:h="11906" w:orient="landscape"/>
          <w:pgMar w:top="1797" w:right="1440" w:bottom="1797" w:left="1440" w:header="851" w:footer="992" w:gutter="0"/>
          <w:cols w:space="425" w:num="1"/>
          <w:docGrid w:type="linesAndChars" w:linePitch="312" w:charSpace="0"/>
        </w:sectPr>
      </w:pPr>
    </w:p>
    <w:p>
      <w:pPr>
        <w:spacing w:line="600" w:lineRule="exact"/>
        <w:ind w:firstLine="560" w:firstLineChars="200"/>
        <w:rPr>
          <w:rFonts w:ascii="仿宋" w:hAnsi="仿宋" w:eastAsia="仿宋"/>
          <w:b/>
          <w:bCs/>
          <w:sz w:val="28"/>
        </w:rPr>
      </w:pPr>
      <w:r>
        <w:rPr>
          <w:rFonts w:hint="eastAsia" w:ascii="仿宋" w:hAnsi="仿宋" w:eastAsia="仿宋"/>
          <w:b/>
          <w:bCs/>
          <w:sz w:val="28"/>
        </w:rPr>
        <w:t>2.近三年预算安排与执行情况</w:t>
      </w:r>
    </w:p>
    <w:p>
      <w:pPr>
        <w:spacing w:line="600" w:lineRule="exact"/>
        <w:ind w:firstLine="560" w:firstLineChars="200"/>
        <w:rPr>
          <w:rFonts w:ascii="仿宋" w:hAnsi="仿宋" w:eastAsia="仿宋"/>
          <w:bCs/>
          <w:sz w:val="28"/>
        </w:rPr>
      </w:pPr>
      <w:r>
        <w:rPr>
          <w:rFonts w:hint="eastAsia" w:ascii="仿宋" w:hAnsi="仿宋" w:eastAsia="仿宋"/>
          <w:bCs/>
          <w:sz w:val="28"/>
        </w:rPr>
        <w:t>线上培训补贴项目自2020年起设立实施，近年预算安排与执行情况如下：</w:t>
      </w:r>
    </w:p>
    <w:p>
      <w:pPr>
        <w:spacing w:line="600" w:lineRule="exact"/>
        <w:ind w:firstLine="480" w:firstLineChars="200"/>
        <w:jc w:val="center"/>
        <w:rPr>
          <w:rFonts w:ascii="仿宋" w:hAnsi="仿宋" w:eastAsia="仿宋"/>
          <w:b/>
          <w:bCs/>
          <w:sz w:val="24"/>
        </w:rPr>
      </w:pPr>
      <w:r>
        <w:rPr>
          <w:rFonts w:hint="eastAsia" w:ascii="仿宋" w:hAnsi="仿宋" w:eastAsia="仿宋"/>
          <w:b/>
          <w:bCs/>
          <w:sz w:val="24"/>
        </w:rPr>
        <w:t>表6-近三年预算安排与执行情况汇总表</w:t>
      </w:r>
    </w:p>
    <w:p>
      <w:pPr>
        <w:spacing w:line="600" w:lineRule="exact"/>
        <w:ind w:firstLine="480" w:firstLineChars="200"/>
        <w:jc w:val="right"/>
        <w:rPr>
          <w:rFonts w:ascii="仿宋" w:hAnsi="仿宋" w:eastAsia="仿宋"/>
          <w:b/>
          <w:bCs/>
          <w:sz w:val="24"/>
        </w:rPr>
      </w:pPr>
      <w:r>
        <w:rPr>
          <w:rFonts w:hint="eastAsia" w:ascii="仿宋" w:hAnsi="仿宋" w:eastAsia="仿宋"/>
          <w:b/>
          <w:bCs/>
          <w:sz w:val="24"/>
        </w:rPr>
        <w:t>单位：万元</w:t>
      </w:r>
    </w:p>
    <w:tbl>
      <w:tblPr>
        <w:tblStyle w:val="14"/>
        <w:tblW w:w="5000" w:type="pct"/>
        <w:tblInd w:w="0" w:type="dxa"/>
        <w:tblLayout w:type="autofit"/>
        <w:tblCellMar>
          <w:top w:w="0" w:type="dxa"/>
          <w:left w:w="108" w:type="dxa"/>
          <w:bottom w:w="0" w:type="dxa"/>
          <w:right w:w="108" w:type="dxa"/>
        </w:tblCellMar>
      </w:tblPr>
      <w:tblGrid>
        <w:gridCol w:w="1568"/>
        <w:gridCol w:w="3110"/>
        <w:gridCol w:w="1704"/>
        <w:gridCol w:w="1642"/>
        <w:gridCol w:w="1681"/>
        <w:gridCol w:w="4469"/>
      </w:tblGrid>
      <w:tr>
        <w:tblPrEx>
          <w:tblCellMar>
            <w:top w:w="0" w:type="dxa"/>
            <w:left w:w="108" w:type="dxa"/>
            <w:bottom w:w="0" w:type="dxa"/>
            <w:right w:w="108" w:type="dxa"/>
          </w:tblCellMar>
        </w:tblPrEx>
        <w:trPr>
          <w:trHeight w:val="600"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年度</w:t>
            </w:r>
          </w:p>
        </w:tc>
        <w:tc>
          <w:tcPr>
            <w:tcW w:w="10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补贴标准</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年初预算</w:t>
            </w:r>
          </w:p>
        </w:tc>
        <w:tc>
          <w:tcPr>
            <w:tcW w:w="57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调整后预算</w:t>
            </w:r>
          </w:p>
        </w:tc>
        <w:tc>
          <w:tcPr>
            <w:tcW w:w="5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执行金额</w:t>
            </w:r>
          </w:p>
        </w:tc>
        <w:tc>
          <w:tcPr>
            <w:tcW w:w="157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说明</w:t>
            </w:r>
          </w:p>
        </w:tc>
      </w:tr>
      <w:tr>
        <w:tblPrEx>
          <w:tblCellMar>
            <w:top w:w="0" w:type="dxa"/>
            <w:left w:w="108" w:type="dxa"/>
            <w:bottom w:w="0" w:type="dxa"/>
            <w:right w:w="108" w:type="dxa"/>
          </w:tblCellMar>
        </w:tblPrEx>
        <w:trPr>
          <w:trHeight w:val="1548" w:hRule="atLeast"/>
        </w:trPr>
        <w:tc>
          <w:tcPr>
            <w:tcW w:w="5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2020</w:t>
            </w:r>
          </w:p>
        </w:tc>
        <w:tc>
          <w:tcPr>
            <w:tcW w:w="1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3项目/企业/年</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按核定培训成本的95%，最高不超过600元/人/次</w:t>
            </w:r>
          </w:p>
        </w:tc>
        <w:tc>
          <w:tcPr>
            <w:tcW w:w="6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0.00</w:t>
            </w:r>
          </w:p>
        </w:tc>
        <w:tc>
          <w:tcPr>
            <w:tcW w:w="57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3500.00</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2008.61</w:t>
            </w:r>
          </w:p>
        </w:tc>
        <w:tc>
          <w:tcPr>
            <w:tcW w:w="157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实际补贴268家企业，培训36865人次</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核定培训总成本2114.33万元</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折算单价约545元/人/次</w:t>
            </w:r>
          </w:p>
        </w:tc>
      </w:tr>
      <w:tr>
        <w:tblPrEx>
          <w:tblCellMar>
            <w:top w:w="0" w:type="dxa"/>
            <w:left w:w="108" w:type="dxa"/>
            <w:bottom w:w="0" w:type="dxa"/>
            <w:right w:w="108" w:type="dxa"/>
          </w:tblCellMar>
        </w:tblPrEx>
        <w:trPr>
          <w:trHeight w:val="1555" w:hRule="atLeast"/>
        </w:trPr>
        <w:tc>
          <w:tcPr>
            <w:tcW w:w="5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2021</w:t>
            </w:r>
          </w:p>
        </w:tc>
        <w:tc>
          <w:tcPr>
            <w:tcW w:w="1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1项目/企业/年</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600元/人/次</w:t>
            </w:r>
          </w:p>
        </w:tc>
        <w:tc>
          <w:tcPr>
            <w:tcW w:w="6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0.00</w:t>
            </w:r>
          </w:p>
        </w:tc>
        <w:tc>
          <w:tcPr>
            <w:tcW w:w="57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700.00</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649.98</w:t>
            </w:r>
          </w:p>
        </w:tc>
        <w:tc>
          <w:tcPr>
            <w:tcW w:w="157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实际补贴117家企业</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核定培训10833人次</w:t>
            </w:r>
          </w:p>
        </w:tc>
      </w:tr>
      <w:tr>
        <w:tblPrEx>
          <w:tblCellMar>
            <w:top w:w="0" w:type="dxa"/>
            <w:left w:w="108" w:type="dxa"/>
            <w:bottom w:w="0" w:type="dxa"/>
            <w:right w:w="108" w:type="dxa"/>
          </w:tblCellMar>
        </w:tblPrEx>
        <w:trPr>
          <w:trHeight w:val="1549" w:hRule="atLeast"/>
        </w:trPr>
        <w:tc>
          <w:tcPr>
            <w:tcW w:w="5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2022</w:t>
            </w:r>
          </w:p>
        </w:tc>
        <w:tc>
          <w:tcPr>
            <w:tcW w:w="1097"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3项目/企业/年</w:t>
            </w:r>
          </w:p>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600元/人/次</w:t>
            </w:r>
          </w:p>
        </w:tc>
        <w:tc>
          <w:tcPr>
            <w:tcW w:w="6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699.96</w:t>
            </w:r>
          </w:p>
        </w:tc>
        <w:tc>
          <w:tcPr>
            <w:tcW w:w="57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调整中</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（2599.96）</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0.00</w:t>
            </w:r>
          </w:p>
        </w:tc>
        <w:tc>
          <w:tcPr>
            <w:tcW w:w="157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审计核查中，资金暂未支付</w:t>
            </w:r>
          </w:p>
        </w:tc>
      </w:tr>
    </w:tbl>
    <w:p>
      <w:pPr>
        <w:spacing w:line="600" w:lineRule="exact"/>
        <w:ind w:firstLine="560" w:firstLineChars="200"/>
        <w:rPr>
          <w:rFonts w:ascii="仿宋" w:hAnsi="仿宋" w:eastAsia="仿宋"/>
          <w:bCs/>
          <w:sz w:val="28"/>
        </w:rPr>
        <w:sectPr>
          <w:pgSz w:w="16838" w:h="11906" w:orient="landscape"/>
          <w:pgMar w:top="1797" w:right="1440" w:bottom="1797" w:left="1440" w:header="851" w:footer="992" w:gutter="0"/>
          <w:cols w:space="425" w:num="1"/>
          <w:docGrid w:type="linesAndChars" w:linePitch="312" w:charSpace="0"/>
        </w:sectPr>
      </w:pPr>
    </w:p>
    <w:p>
      <w:pPr>
        <w:spacing w:line="600" w:lineRule="exact"/>
        <w:ind w:firstLine="560" w:firstLineChars="200"/>
        <w:rPr>
          <w:rFonts w:ascii="仿宋" w:hAnsi="仿宋" w:eastAsia="仿宋"/>
          <w:bCs/>
          <w:sz w:val="28"/>
        </w:rPr>
      </w:pPr>
      <w:r>
        <w:rPr>
          <w:rFonts w:hint="eastAsia" w:ascii="仿宋" w:hAnsi="仿宋" w:eastAsia="仿宋"/>
          <w:bCs/>
          <w:sz w:val="28"/>
        </w:rPr>
        <w:t>近三年间项目的预算执行金额波动较大，主要原因包括2个方面，一是市级政策每年更新补贴标准（单个企业可申报培训项目数量上限、单人次补贴标准）；二是疫情态势每年发生变化，直接影响企业申报项目的需求与积极性（如2021年本市疫情防控态势总体良好，培训项目数与人员数显著减少）。</w:t>
      </w:r>
    </w:p>
    <w:p>
      <w:pPr>
        <w:spacing w:line="600" w:lineRule="exact"/>
        <w:ind w:firstLine="560" w:firstLineChars="200"/>
        <w:rPr>
          <w:rFonts w:ascii="仿宋" w:hAnsi="仿宋" w:eastAsia="仿宋"/>
          <w:bCs/>
          <w:sz w:val="28"/>
        </w:rPr>
      </w:pPr>
      <w:r>
        <w:rPr>
          <w:rFonts w:hint="eastAsia" w:ascii="仿宋" w:hAnsi="仿宋" w:eastAsia="仿宋"/>
          <w:bCs/>
          <w:sz w:val="28"/>
        </w:rPr>
        <w:t>资金拨付前需按各类政策文件、实施方案、工作细则等要求对企业申报内容进行全覆盖核查，主要核查内容包括企业资质（税基所在地、地方教育附加历年缴纳情况、培训人员性质结构、培训真实性等）。部分核查工作通过第三方审计机构开展，所需经费由区人社部门另行安排，不计入项目预算。</w:t>
      </w:r>
    </w:p>
    <w:p>
      <w:pPr>
        <w:spacing w:line="600" w:lineRule="exact"/>
        <w:ind w:firstLine="560" w:firstLineChars="200"/>
        <w:rPr>
          <w:rFonts w:ascii="仿宋" w:hAnsi="仿宋" w:eastAsia="仿宋"/>
          <w:bCs/>
          <w:sz w:val="28"/>
        </w:rPr>
      </w:pPr>
      <w:r>
        <w:rPr>
          <w:rFonts w:hint="eastAsia" w:ascii="仿宋" w:hAnsi="仿宋" w:eastAsia="仿宋"/>
          <w:bCs/>
          <w:sz w:val="28"/>
        </w:rPr>
        <w:t>2022年10月，由于申报的企业数量与人次规模远大于预算编制阶段预估，区人社局向区府提交关于调整（追加）当年度项目预算1900万元的请示，目前尚在区府审批过程中。具体详见附件-关于追加项目预算的区府专报。</w:t>
      </w:r>
    </w:p>
    <w:p>
      <w:pPr>
        <w:spacing w:line="600" w:lineRule="exact"/>
        <w:ind w:firstLine="560" w:firstLineChars="200"/>
        <w:rPr>
          <w:rFonts w:ascii="仿宋" w:hAnsi="仿宋" w:eastAsia="仿宋"/>
          <w:bCs/>
          <w:sz w:val="28"/>
        </w:rPr>
      </w:pPr>
      <w:r>
        <w:rPr>
          <w:rFonts w:hint="eastAsia" w:ascii="仿宋" w:hAnsi="仿宋" w:eastAsia="仿宋"/>
          <w:bCs/>
          <w:sz w:val="28"/>
        </w:rPr>
        <w:t>截至2022年11月，2022年项目预算资金暂未执行，主要系由于补贴核查工作尚在实施推进（需按审计核查结果拨付），预计在11月末完成首批约160余个企业（300余个项目）的核查与拨付工作。</w:t>
      </w:r>
    </w:p>
    <w:p>
      <w:pPr>
        <w:spacing w:line="600" w:lineRule="exact"/>
        <w:ind w:firstLine="560" w:firstLineChars="200"/>
        <w:rPr>
          <w:rFonts w:ascii="仿宋" w:hAnsi="仿宋" w:eastAsia="仿宋"/>
          <w:bCs/>
          <w:sz w:val="28"/>
        </w:rPr>
      </w:pPr>
    </w:p>
    <w:p>
      <w:pPr>
        <w:spacing w:line="600" w:lineRule="exact"/>
        <w:ind w:firstLine="560" w:firstLineChars="200"/>
        <w:rPr>
          <w:rFonts w:ascii="仿宋" w:hAnsi="仿宋" w:eastAsia="仿宋"/>
          <w:bCs/>
          <w:sz w:val="28"/>
        </w:rPr>
      </w:pPr>
    </w:p>
    <w:p>
      <w:pPr>
        <w:spacing w:line="600" w:lineRule="exact"/>
        <w:ind w:firstLine="560" w:firstLineChars="200"/>
        <w:rPr>
          <w:rFonts w:ascii="仿宋" w:hAnsi="仿宋" w:eastAsia="仿宋"/>
          <w:bCs/>
          <w:sz w:val="28"/>
        </w:rPr>
      </w:pPr>
    </w:p>
    <w:p>
      <w:pPr>
        <w:spacing w:line="600" w:lineRule="exact"/>
        <w:ind w:firstLine="560" w:firstLineChars="200"/>
        <w:rPr>
          <w:rFonts w:ascii="仿宋" w:hAnsi="仿宋" w:eastAsia="仿宋"/>
          <w:bCs/>
          <w:sz w:val="28"/>
        </w:rPr>
      </w:pPr>
    </w:p>
    <w:p>
      <w:pPr>
        <w:spacing w:line="600" w:lineRule="exact"/>
        <w:ind w:firstLine="560" w:firstLineChars="200"/>
        <w:rPr>
          <w:rFonts w:ascii="仿宋" w:hAnsi="仿宋" w:eastAsia="仿宋"/>
          <w:bCs/>
          <w:sz w:val="28"/>
        </w:rPr>
      </w:pPr>
    </w:p>
    <w:p>
      <w:pPr>
        <w:spacing w:line="600" w:lineRule="exact"/>
        <w:ind w:firstLine="560" w:firstLineChars="200"/>
        <w:rPr>
          <w:rFonts w:ascii="仿宋" w:hAnsi="仿宋" w:eastAsia="仿宋"/>
          <w:bCs/>
          <w:sz w:val="28"/>
        </w:rPr>
      </w:pPr>
    </w:p>
    <w:p>
      <w:pPr>
        <w:pStyle w:val="3"/>
        <w:spacing w:before="0" w:after="0" w:line="240" w:lineRule="auto"/>
        <w:ind w:firstLine="562" w:firstLineChars="200"/>
        <w:rPr>
          <w:rFonts w:ascii="仿宋" w:hAnsi="仿宋" w:eastAsia="仿宋" w:cs="Arial"/>
          <w:sz w:val="28"/>
          <w:szCs w:val="28"/>
        </w:rPr>
      </w:pPr>
      <w:bookmarkStart w:id="2" w:name="_Toc86671087"/>
      <w:bookmarkStart w:id="3" w:name="_Toc86826143"/>
      <w:r>
        <w:rPr>
          <w:rFonts w:hint="eastAsia" w:ascii="仿宋" w:hAnsi="仿宋" w:eastAsia="仿宋" w:cs="Arial"/>
          <w:sz w:val="28"/>
          <w:szCs w:val="28"/>
        </w:rPr>
        <w:t>（四）</w:t>
      </w:r>
      <w:bookmarkStart w:id="4" w:name="（四）2013年绩效目标"/>
      <w:r>
        <w:rPr>
          <w:rFonts w:hint="eastAsia" w:ascii="仿宋" w:hAnsi="仿宋" w:eastAsia="仿宋" w:cs="Arial"/>
          <w:sz w:val="28"/>
          <w:szCs w:val="28"/>
        </w:rPr>
        <w:t>2023年绩效目标</w:t>
      </w:r>
      <w:bookmarkEnd w:id="2"/>
      <w:bookmarkEnd w:id="3"/>
      <w:bookmarkEnd w:id="4"/>
    </w:p>
    <w:p>
      <w:pPr>
        <w:ind w:firstLine="562" w:firstLineChars="200"/>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w:t>
      </w:r>
      <w:r>
        <w:rPr>
          <w:rFonts w:hint="eastAsia" w:ascii="仿宋" w:hAnsi="仿宋" w:eastAsia="仿宋"/>
          <w:b/>
          <w:bCs/>
          <w:sz w:val="28"/>
          <w:szCs w:val="28"/>
        </w:rPr>
        <w:t>总目标</w:t>
      </w:r>
    </w:p>
    <w:p>
      <w:pPr>
        <w:spacing w:line="600" w:lineRule="exact"/>
        <w:ind w:firstLine="560" w:firstLineChars="200"/>
        <w:rPr>
          <w:rFonts w:ascii="仿宋" w:hAnsi="仿宋" w:eastAsia="仿宋"/>
          <w:bCs/>
          <w:sz w:val="28"/>
        </w:rPr>
      </w:pPr>
      <w:r>
        <w:rPr>
          <w:rFonts w:hint="eastAsia" w:ascii="仿宋" w:hAnsi="仿宋" w:eastAsia="仿宋"/>
          <w:bCs/>
          <w:sz w:val="28"/>
        </w:rPr>
        <w:t>贯彻落实《上海市人社领域全力支持抗击疫情若干政策措施》的文件精神，结合新冠疫情防控由应急管理全面转为常态管理的现状，通过线上培训补贴项目，做好援企稳岗稳就业，维护劳动关系和谐稳定，减少疫情对企业的冲击、影响，减轻企业负担。</w:t>
      </w:r>
    </w:p>
    <w:p>
      <w:pPr>
        <w:ind w:firstLine="562" w:firstLineChars="20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w:t>
      </w:r>
      <w:r>
        <w:rPr>
          <w:rFonts w:hint="eastAsia" w:ascii="仿宋" w:hAnsi="仿宋" w:eastAsia="仿宋"/>
          <w:b/>
          <w:bCs/>
          <w:sz w:val="28"/>
          <w:szCs w:val="28"/>
        </w:rPr>
        <w:t>年度目标</w:t>
      </w:r>
    </w:p>
    <w:p>
      <w:pPr>
        <w:spacing w:line="600" w:lineRule="exact"/>
        <w:ind w:firstLine="560" w:firstLineChars="200"/>
        <w:rPr>
          <w:rFonts w:ascii="仿宋" w:hAnsi="仿宋" w:eastAsia="仿宋"/>
          <w:bCs/>
          <w:sz w:val="28"/>
        </w:rPr>
      </w:pPr>
      <w:r>
        <w:rPr>
          <w:rFonts w:hint="eastAsia" w:ascii="仿宋" w:hAnsi="仿宋" w:eastAsia="仿宋"/>
          <w:bCs/>
          <w:sz w:val="28"/>
        </w:rPr>
        <w:t>参照市级政策中3项目/企业/年和600元/人</w:t>
      </w:r>
      <w:r>
        <w:rPr>
          <w:rFonts w:ascii="仿宋" w:hAnsi="仿宋" w:eastAsia="仿宋"/>
          <w:bCs/>
          <w:sz w:val="28"/>
        </w:rPr>
        <w:t>/</w:t>
      </w:r>
      <w:r>
        <w:rPr>
          <w:rFonts w:hint="eastAsia" w:ascii="仿宋" w:hAnsi="仿宋" w:eastAsia="仿宋"/>
          <w:bCs/>
          <w:sz w:val="28"/>
        </w:rPr>
        <w:t>次的补贴标准，按照《闵行区受疫情影响企业职工线上培训补贴工作指引》（2022版）中的流程与细则，于2023年3月前完成上年度约13万未拨付培训人次的审计核查与资金拨付工作。同时根据市级2023年工作部署开展并完成当年度培训项目的备案审核、核查拨付工作（预估人次1.8万）。</w:t>
      </w:r>
    </w:p>
    <w:p>
      <w:pPr>
        <w:ind w:firstLine="562" w:firstLineChars="200"/>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w:t>
      </w:r>
      <w:r>
        <w:rPr>
          <w:rFonts w:hint="eastAsia" w:ascii="仿宋" w:hAnsi="仿宋" w:eastAsia="仿宋"/>
          <w:b/>
          <w:bCs/>
          <w:sz w:val="28"/>
          <w:szCs w:val="28"/>
        </w:rPr>
        <w:t>具体绩效目标</w:t>
      </w:r>
    </w:p>
    <w:p>
      <w:pPr>
        <w:spacing w:line="600" w:lineRule="exact"/>
        <w:ind w:firstLine="560" w:firstLineChars="200"/>
        <w:rPr>
          <w:rFonts w:ascii="仿宋" w:hAnsi="仿宋" w:eastAsia="仿宋"/>
          <w:bCs/>
          <w:sz w:val="28"/>
        </w:rPr>
        <w:sectPr>
          <w:pgSz w:w="11906" w:h="16838"/>
          <w:pgMar w:top="1440" w:right="1800" w:bottom="1440" w:left="1800" w:header="851" w:footer="992" w:gutter="0"/>
          <w:cols w:space="425" w:num="1"/>
          <w:docGrid w:type="lines" w:linePitch="312" w:charSpace="0"/>
        </w:sectPr>
      </w:pPr>
    </w:p>
    <w:p>
      <w:pPr>
        <w:spacing w:line="600" w:lineRule="exact"/>
        <w:ind w:firstLine="480" w:firstLineChars="200"/>
        <w:jc w:val="center"/>
        <w:rPr>
          <w:rFonts w:ascii="仿宋" w:hAnsi="仿宋" w:eastAsia="仿宋"/>
          <w:b/>
          <w:bCs/>
          <w:sz w:val="24"/>
        </w:rPr>
      </w:pPr>
      <w:r>
        <w:rPr>
          <w:rFonts w:hint="eastAsia" w:ascii="仿宋" w:hAnsi="仿宋" w:eastAsia="仿宋"/>
          <w:b/>
          <w:bCs/>
          <w:sz w:val="24"/>
        </w:rPr>
        <w:t>表7-具体绩效目标表</w:t>
      </w:r>
    </w:p>
    <w:tbl>
      <w:tblPr>
        <w:tblStyle w:val="14"/>
        <w:tblW w:w="5000" w:type="pct"/>
        <w:tblInd w:w="0" w:type="dxa"/>
        <w:tblLayout w:type="autofit"/>
        <w:tblCellMar>
          <w:top w:w="0" w:type="dxa"/>
          <w:left w:w="108" w:type="dxa"/>
          <w:bottom w:w="0" w:type="dxa"/>
          <w:right w:w="108" w:type="dxa"/>
        </w:tblCellMar>
      </w:tblPr>
      <w:tblGrid>
        <w:gridCol w:w="1704"/>
        <w:gridCol w:w="2846"/>
        <w:gridCol w:w="1837"/>
        <w:gridCol w:w="7787"/>
      </w:tblGrid>
      <w:tr>
        <w:tblPrEx>
          <w:tblCellMar>
            <w:top w:w="0" w:type="dxa"/>
            <w:left w:w="108" w:type="dxa"/>
            <w:bottom w:w="0" w:type="dxa"/>
            <w:right w:w="108" w:type="dxa"/>
          </w:tblCellMar>
        </w:tblPrEx>
        <w:trPr>
          <w:trHeight w:val="612" w:hRule="atLeast"/>
          <w:tblHeader/>
        </w:trPr>
        <w:tc>
          <w:tcPr>
            <w:tcW w:w="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目标类型</w:t>
            </w:r>
          </w:p>
        </w:tc>
        <w:tc>
          <w:tcPr>
            <w:tcW w:w="10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具体目标</w:t>
            </w:r>
          </w:p>
        </w:tc>
        <w:tc>
          <w:tcPr>
            <w:tcW w:w="6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标杆值</w:t>
            </w:r>
          </w:p>
        </w:tc>
        <w:tc>
          <w:tcPr>
            <w:tcW w:w="27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目标说明</w:t>
            </w:r>
          </w:p>
        </w:tc>
      </w:tr>
      <w:tr>
        <w:tblPrEx>
          <w:tblCellMar>
            <w:top w:w="0" w:type="dxa"/>
            <w:left w:w="108" w:type="dxa"/>
            <w:bottom w:w="0" w:type="dxa"/>
            <w:right w:w="108" w:type="dxa"/>
          </w:tblCellMar>
        </w:tblPrEx>
        <w:trPr>
          <w:trHeight w:val="1140" w:hRule="atLeast"/>
        </w:trPr>
        <w:tc>
          <w:tcPr>
            <w:tcW w:w="6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产出数量</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完成2022年培训补贴</w:t>
            </w:r>
          </w:p>
          <w:p>
            <w:pPr>
              <w:widowControl/>
              <w:jc w:val="center"/>
              <w:rPr>
                <w:rFonts w:ascii="仿宋" w:hAnsi="仿宋" w:eastAsia="仿宋" w:cs="宋体"/>
                <w:kern w:val="0"/>
                <w:sz w:val="24"/>
              </w:rPr>
            </w:pPr>
            <w:r>
              <w:rPr>
                <w:rFonts w:hint="eastAsia" w:ascii="仿宋" w:hAnsi="仿宋" w:eastAsia="仿宋" w:cs="宋体"/>
                <w:kern w:val="0"/>
                <w:sz w:val="24"/>
              </w:rPr>
              <w:t>核查工作</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138334</w:t>
            </w:r>
          </w:p>
          <w:p>
            <w:pPr>
              <w:widowControl/>
              <w:jc w:val="center"/>
              <w:rPr>
                <w:rFonts w:ascii="仿宋" w:hAnsi="仿宋" w:eastAsia="仿宋" w:cs="宋体"/>
                <w:kern w:val="0"/>
                <w:sz w:val="24"/>
              </w:rPr>
            </w:pPr>
            <w:r>
              <w:rPr>
                <w:rFonts w:hint="eastAsia" w:ascii="仿宋" w:hAnsi="仿宋" w:eastAsia="仿宋" w:cs="宋体"/>
                <w:kern w:val="0"/>
                <w:sz w:val="24"/>
              </w:rPr>
              <w:t>人次</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完成上年度未结算培训补贴的核查工作（标杆值为当前阶段预估数，后续按实际情况开展）</w:t>
            </w:r>
          </w:p>
        </w:tc>
      </w:tr>
      <w:tr>
        <w:tblPrEx>
          <w:tblCellMar>
            <w:top w:w="0" w:type="dxa"/>
            <w:left w:w="108" w:type="dxa"/>
            <w:bottom w:w="0" w:type="dxa"/>
            <w:right w:w="108" w:type="dxa"/>
          </w:tblCellMar>
        </w:tblPrEx>
        <w:trPr>
          <w:trHeight w:val="1248" w:hRule="atLeast"/>
        </w:trPr>
        <w:tc>
          <w:tcPr>
            <w:tcW w:w="601"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完成2023年培训补贴</w:t>
            </w:r>
          </w:p>
          <w:p>
            <w:pPr>
              <w:widowControl/>
              <w:jc w:val="center"/>
              <w:rPr>
                <w:rFonts w:ascii="仿宋" w:hAnsi="仿宋" w:eastAsia="仿宋" w:cs="宋体"/>
                <w:kern w:val="0"/>
                <w:sz w:val="24"/>
              </w:rPr>
            </w:pPr>
            <w:r>
              <w:rPr>
                <w:rFonts w:hint="eastAsia" w:ascii="仿宋" w:hAnsi="仿宋" w:eastAsia="仿宋" w:cs="宋体"/>
                <w:kern w:val="0"/>
                <w:sz w:val="24"/>
              </w:rPr>
              <w:t>备案、核查工作</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39500</w:t>
            </w:r>
          </w:p>
          <w:p>
            <w:pPr>
              <w:widowControl/>
              <w:jc w:val="center"/>
              <w:rPr>
                <w:rFonts w:ascii="仿宋" w:hAnsi="仿宋" w:eastAsia="仿宋" w:cs="宋体"/>
                <w:kern w:val="0"/>
                <w:sz w:val="24"/>
              </w:rPr>
            </w:pPr>
            <w:r>
              <w:rPr>
                <w:rFonts w:hint="eastAsia" w:ascii="仿宋" w:hAnsi="仿宋" w:eastAsia="仿宋" w:cs="宋体"/>
                <w:kern w:val="0"/>
                <w:sz w:val="24"/>
              </w:rPr>
              <w:t>人次</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根据2023年市级政策标准编制印发2023版区级工作指引，按相关细则完成当年度培训申请备案与核查工作（标杆值为预估数，按实际企业申报与培训完成情况开展）</w:t>
            </w:r>
          </w:p>
        </w:tc>
      </w:tr>
      <w:tr>
        <w:tblPrEx>
          <w:tblCellMar>
            <w:top w:w="0" w:type="dxa"/>
            <w:left w:w="108" w:type="dxa"/>
            <w:bottom w:w="0" w:type="dxa"/>
            <w:right w:w="108" w:type="dxa"/>
          </w:tblCellMar>
        </w:tblPrEx>
        <w:trPr>
          <w:trHeight w:val="1176" w:hRule="atLeast"/>
        </w:trPr>
        <w:tc>
          <w:tcPr>
            <w:tcW w:w="601"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产出质量</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应补尽补率</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按照市级政策要求与区级指引细则</w:t>
            </w:r>
          </w:p>
          <w:p>
            <w:pPr>
              <w:widowControl/>
              <w:jc w:val="left"/>
              <w:rPr>
                <w:rFonts w:ascii="仿宋" w:hAnsi="仿宋" w:eastAsia="仿宋" w:cs="宋体"/>
                <w:kern w:val="0"/>
                <w:sz w:val="24"/>
              </w:rPr>
            </w:pPr>
            <w:r>
              <w:rPr>
                <w:rFonts w:hint="eastAsia" w:ascii="仿宋" w:hAnsi="仿宋" w:eastAsia="仿宋" w:cs="宋体"/>
                <w:kern w:val="0"/>
                <w:sz w:val="24"/>
              </w:rPr>
              <w:t>对申报备案且经核查认定的企业应补尽补</w:t>
            </w:r>
          </w:p>
        </w:tc>
      </w:tr>
      <w:tr>
        <w:tblPrEx>
          <w:tblCellMar>
            <w:top w:w="0" w:type="dxa"/>
            <w:left w:w="108" w:type="dxa"/>
            <w:bottom w:w="0" w:type="dxa"/>
            <w:right w:w="108" w:type="dxa"/>
          </w:tblCellMar>
        </w:tblPrEx>
        <w:trPr>
          <w:trHeight w:val="1116" w:hRule="atLeast"/>
        </w:trPr>
        <w:tc>
          <w:tcPr>
            <w:tcW w:w="60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受补企业资质</w:t>
            </w:r>
          </w:p>
          <w:p>
            <w:pPr>
              <w:widowControl/>
              <w:jc w:val="center"/>
              <w:rPr>
                <w:rFonts w:ascii="仿宋" w:hAnsi="仿宋" w:eastAsia="仿宋" w:cs="宋体"/>
                <w:kern w:val="0"/>
                <w:sz w:val="24"/>
              </w:rPr>
            </w:pPr>
            <w:r>
              <w:rPr>
                <w:rFonts w:hint="eastAsia" w:ascii="仿宋" w:hAnsi="仿宋" w:eastAsia="仿宋" w:cs="宋体"/>
                <w:kern w:val="0"/>
                <w:sz w:val="24"/>
              </w:rPr>
              <w:t>达标率</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受补贴的企业符合市区两级相关政策/指引的基本资质要求，包括税基所在地、教育费附加缴纳情况等</w:t>
            </w:r>
          </w:p>
        </w:tc>
      </w:tr>
      <w:tr>
        <w:tblPrEx>
          <w:tblCellMar>
            <w:top w:w="0" w:type="dxa"/>
            <w:left w:w="108" w:type="dxa"/>
            <w:bottom w:w="0" w:type="dxa"/>
            <w:right w:w="108" w:type="dxa"/>
          </w:tblCellMar>
        </w:tblPrEx>
        <w:trPr>
          <w:trHeight w:val="1056" w:hRule="atLeast"/>
        </w:trPr>
        <w:tc>
          <w:tcPr>
            <w:tcW w:w="60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线上培训项目</w:t>
            </w:r>
          </w:p>
          <w:p>
            <w:pPr>
              <w:widowControl/>
              <w:jc w:val="center"/>
              <w:rPr>
                <w:rFonts w:ascii="仿宋" w:hAnsi="仿宋" w:eastAsia="仿宋" w:cs="宋体"/>
                <w:kern w:val="0"/>
                <w:sz w:val="24"/>
              </w:rPr>
            </w:pPr>
            <w:r>
              <w:rPr>
                <w:rFonts w:hint="eastAsia" w:ascii="仿宋" w:hAnsi="仿宋" w:eastAsia="仿宋" w:cs="宋体"/>
                <w:kern w:val="0"/>
                <w:sz w:val="24"/>
              </w:rPr>
              <w:t>真实性</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通过电话回访、现场审计、平台督导等方式，确保培训项目均真实开展，不发生自动集体打卡/测验等违规骗取补贴的情况</w:t>
            </w:r>
          </w:p>
        </w:tc>
      </w:tr>
      <w:tr>
        <w:tblPrEx>
          <w:tblCellMar>
            <w:top w:w="0" w:type="dxa"/>
            <w:left w:w="108" w:type="dxa"/>
            <w:bottom w:w="0" w:type="dxa"/>
            <w:right w:w="108" w:type="dxa"/>
          </w:tblCellMar>
        </w:tblPrEx>
        <w:trPr>
          <w:trHeight w:val="1020" w:hRule="atLeast"/>
        </w:trPr>
        <w:tc>
          <w:tcPr>
            <w:tcW w:w="60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培训职工</w:t>
            </w:r>
          </w:p>
          <w:p>
            <w:pPr>
              <w:widowControl/>
              <w:jc w:val="center"/>
              <w:rPr>
                <w:rFonts w:ascii="仿宋" w:hAnsi="仿宋" w:eastAsia="仿宋" w:cs="宋体"/>
                <w:kern w:val="0"/>
                <w:sz w:val="24"/>
              </w:rPr>
            </w:pPr>
            <w:r>
              <w:rPr>
                <w:rFonts w:hint="eastAsia" w:ascii="仿宋" w:hAnsi="仿宋" w:eastAsia="仿宋" w:cs="宋体"/>
                <w:kern w:val="0"/>
                <w:sz w:val="24"/>
              </w:rPr>
              <w:t>资质达标率</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补贴所涉的企业职工符合市区两级相关法规/指引的基本资质要求，包括劳动/劳务关系比例结构、考勤结果等</w:t>
            </w:r>
          </w:p>
        </w:tc>
      </w:tr>
      <w:tr>
        <w:tblPrEx>
          <w:tblCellMar>
            <w:top w:w="0" w:type="dxa"/>
            <w:left w:w="108" w:type="dxa"/>
            <w:bottom w:w="0" w:type="dxa"/>
            <w:right w:w="108" w:type="dxa"/>
          </w:tblCellMar>
        </w:tblPrEx>
        <w:trPr>
          <w:trHeight w:val="927" w:hRule="atLeast"/>
        </w:trPr>
        <w:tc>
          <w:tcPr>
            <w:tcW w:w="601"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产出时效</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2022年培训补贴</w:t>
            </w:r>
          </w:p>
          <w:p>
            <w:pPr>
              <w:widowControl/>
              <w:jc w:val="center"/>
              <w:rPr>
                <w:rFonts w:ascii="仿宋" w:hAnsi="仿宋" w:eastAsia="仿宋" w:cs="宋体"/>
                <w:kern w:val="0"/>
                <w:sz w:val="24"/>
              </w:rPr>
            </w:pPr>
            <w:r>
              <w:rPr>
                <w:rFonts w:hint="eastAsia" w:ascii="仿宋" w:hAnsi="仿宋" w:eastAsia="仿宋" w:cs="宋体"/>
                <w:kern w:val="0"/>
                <w:sz w:val="24"/>
              </w:rPr>
              <w:t>核查完成及时性</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2023年3月前</w:t>
            </w:r>
          </w:p>
        </w:tc>
        <w:tc>
          <w:tcPr>
            <w:tcW w:w="2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按工作计划于3月前完成上年度培训补贴的核查与结算</w:t>
            </w:r>
          </w:p>
        </w:tc>
      </w:tr>
      <w:tr>
        <w:tblPrEx>
          <w:tblCellMar>
            <w:top w:w="0" w:type="dxa"/>
            <w:left w:w="108" w:type="dxa"/>
            <w:bottom w:w="0" w:type="dxa"/>
            <w:right w:w="108" w:type="dxa"/>
          </w:tblCellMar>
        </w:tblPrEx>
        <w:trPr>
          <w:trHeight w:val="983" w:hRule="atLeast"/>
        </w:trPr>
        <w:tc>
          <w:tcPr>
            <w:tcW w:w="60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2023年培训补贴</w:t>
            </w:r>
          </w:p>
          <w:p>
            <w:pPr>
              <w:widowControl/>
              <w:jc w:val="center"/>
              <w:rPr>
                <w:rFonts w:ascii="仿宋" w:hAnsi="仿宋" w:eastAsia="仿宋" w:cs="宋体"/>
                <w:kern w:val="0"/>
                <w:sz w:val="24"/>
              </w:rPr>
            </w:pPr>
            <w:r>
              <w:rPr>
                <w:rFonts w:hint="eastAsia" w:ascii="仿宋" w:hAnsi="仿宋" w:eastAsia="仿宋" w:cs="宋体"/>
                <w:kern w:val="0"/>
                <w:sz w:val="24"/>
              </w:rPr>
              <w:t>核查完成及时性</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2023年12月前</w:t>
            </w:r>
          </w:p>
        </w:tc>
        <w:tc>
          <w:tcPr>
            <w:tcW w:w="2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按工作计划于年底前完成当年度培训补贴和核查与结算</w:t>
            </w:r>
          </w:p>
        </w:tc>
      </w:tr>
      <w:tr>
        <w:tblPrEx>
          <w:tblCellMar>
            <w:top w:w="0" w:type="dxa"/>
            <w:left w:w="108" w:type="dxa"/>
            <w:bottom w:w="0" w:type="dxa"/>
            <w:right w:w="108" w:type="dxa"/>
          </w:tblCellMar>
        </w:tblPrEx>
        <w:trPr>
          <w:trHeight w:val="840" w:hRule="atLeast"/>
        </w:trPr>
        <w:tc>
          <w:tcPr>
            <w:tcW w:w="601" w:type="pct"/>
            <w:vMerge w:val="restart"/>
            <w:tcBorders>
              <w:top w:val="nil"/>
              <w:left w:val="single" w:color="auto" w:sz="4" w:space="0"/>
              <w:right w:val="single" w:color="auto" w:sz="4" w:space="0"/>
            </w:tcBorders>
            <w:shd w:val="clear" w:color="auto" w:fill="auto"/>
            <w:noWrap/>
            <w:vAlign w:val="center"/>
          </w:tcPr>
          <w:p>
            <w:pPr>
              <w:jc w:val="center"/>
              <w:rPr>
                <w:rFonts w:ascii="仿宋" w:hAnsi="仿宋" w:eastAsia="仿宋" w:cs="宋体"/>
                <w:kern w:val="0"/>
                <w:sz w:val="24"/>
              </w:rPr>
            </w:pPr>
            <w:r>
              <w:rPr>
                <w:rFonts w:hint="eastAsia" w:ascii="仿宋" w:hAnsi="仿宋" w:eastAsia="仿宋" w:cs="宋体"/>
                <w:kern w:val="0"/>
                <w:sz w:val="24"/>
              </w:rPr>
              <w:t>社会效益</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政策知晓率</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≥80%</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各级人社部门通过上海发布、新闻发布会、网络平台、微信公众号等多元方式宣传推广政策，确保区域内绝大多数企业知晓政策</w:t>
            </w:r>
          </w:p>
        </w:tc>
      </w:tr>
      <w:tr>
        <w:tblPrEx>
          <w:tblCellMar>
            <w:top w:w="0" w:type="dxa"/>
            <w:left w:w="108" w:type="dxa"/>
            <w:bottom w:w="0" w:type="dxa"/>
            <w:right w:w="108" w:type="dxa"/>
          </w:tblCellMar>
        </w:tblPrEx>
        <w:trPr>
          <w:trHeight w:val="840" w:hRule="atLeast"/>
        </w:trPr>
        <w:tc>
          <w:tcPr>
            <w:tcW w:w="601" w:type="pct"/>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企业经济负担</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减轻</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以线上培训项目为载体，减轻企业经济负担，减少疫情对企业冲击与影响</w:t>
            </w:r>
          </w:p>
        </w:tc>
      </w:tr>
      <w:tr>
        <w:tblPrEx>
          <w:tblCellMar>
            <w:top w:w="0" w:type="dxa"/>
            <w:left w:w="108" w:type="dxa"/>
            <w:bottom w:w="0" w:type="dxa"/>
            <w:right w:w="108" w:type="dxa"/>
          </w:tblCellMar>
        </w:tblPrEx>
        <w:trPr>
          <w:trHeight w:val="838" w:hRule="atLeast"/>
        </w:trPr>
        <w:tc>
          <w:tcPr>
            <w:tcW w:w="6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援企稳岗效应</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显著</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通过项目实施尽可能确保辖区内企业存续且职工留用情况稳定（减少企业注销、大量职工流失/裁撤情况）</w:t>
            </w:r>
          </w:p>
        </w:tc>
      </w:tr>
      <w:tr>
        <w:tblPrEx>
          <w:tblCellMar>
            <w:top w:w="0" w:type="dxa"/>
            <w:left w:w="108" w:type="dxa"/>
            <w:bottom w:w="0" w:type="dxa"/>
            <w:right w:w="108" w:type="dxa"/>
          </w:tblCellMar>
        </w:tblPrEx>
        <w:trPr>
          <w:trHeight w:val="692" w:hRule="atLeast"/>
        </w:trPr>
        <w:tc>
          <w:tcPr>
            <w:tcW w:w="601" w:type="pct"/>
            <w:vMerge w:val="continue"/>
            <w:tcBorders>
              <w:left w:val="single" w:color="auto"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企业职工</w:t>
            </w:r>
          </w:p>
          <w:p>
            <w:pPr>
              <w:widowControl/>
              <w:jc w:val="center"/>
              <w:rPr>
                <w:rFonts w:ascii="仿宋" w:hAnsi="仿宋" w:eastAsia="仿宋" w:cs="宋体"/>
                <w:kern w:val="0"/>
                <w:sz w:val="24"/>
              </w:rPr>
            </w:pPr>
            <w:r>
              <w:rPr>
                <w:rFonts w:hint="eastAsia" w:ascii="仿宋" w:hAnsi="仿宋" w:eastAsia="仿宋" w:cs="宋体"/>
                <w:kern w:val="0"/>
                <w:sz w:val="24"/>
              </w:rPr>
              <w:t>能力提升度</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2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通过培训项目提高企业职工的各类业务相关能力</w:t>
            </w:r>
          </w:p>
        </w:tc>
      </w:tr>
      <w:tr>
        <w:tblPrEx>
          <w:tblCellMar>
            <w:top w:w="0" w:type="dxa"/>
            <w:left w:w="108" w:type="dxa"/>
            <w:bottom w:w="0" w:type="dxa"/>
            <w:right w:w="108" w:type="dxa"/>
          </w:tblCellMar>
        </w:tblPrEx>
        <w:trPr>
          <w:trHeight w:val="717" w:hRule="atLeast"/>
        </w:trPr>
        <w:tc>
          <w:tcPr>
            <w:tcW w:w="601"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有责投诉信访</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0发生</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项目实施过程中不发生重大有责的投诉信访</w:t>
            </w:r>
          </w:p>
          <w:p>
            <w:pPr>
              <w:widowControl/>
              <w:jc w:val="left"/>
              <w:rPr>
                <w:rFonts w:ascii="仿宋" w:hAnsi="仿宋" w:eastAsia="仿宋" w:cs="宋体"/>
                <w:kern w:val="0"/>
                <w:sz w:val="24"/>
              </w:rPr>
            </w:pPr>
            <w:r>
              <w:rPr>
                <w:rFonts w:hint="eastAsia" w:ascii="仿宋" w:hAnsi="仿宋" w:eastAsia="仿宋" w:cs="宋体"/>
                <w:kern w:val="0"/>
                <w:sz w:val="24"/>
              </w:rPr>
              <w:t>（如无理由拒绝备案、压缩补贴标准等）</w:t>
            </w:r>
          </w:p>
        </w:tc>
      </w:tr>
      <w:tr>
        <w:tblPrEx>
          <w:tblCellMar>
            <w:top w:w="0" w:type="dxa"/>
            <w:left w:w="108" w:type="dxa"/>
            <w:bottom w:w="0" w:type="dxa"/>
            <w:right w:w="108" w:type="dxa"/>
          </w:tblCellMar>
        </w:tblPrEx>
        <w:trPr>
          <w:trHeight w:val="832" w:hRule="atLeast"/>
        </w:trPr>
        <w:tc>
          <w:tcPr>
            <w:tcW w:w="601"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影响力</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受补企业满意度</w:t>
            </w:r>
          </w:p>
        </w:tc>
        <w:tc>
          <w:tcPr>
            <w:tcW w:w="64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≥90%</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受补贴企业对项目实施的满意度不低于90%，包括工作指引明确性、申报流程便捷性、备案核查效率等方面</w:t>
            </w:r>
          </w:p>
        </w:tc>
      </w:tr>
      <w:tr>
        <w:tblPrEx>
          <w:tblCellMar>
            <w:top w:w="0" w:type="dxa"/>
            <w:left w:w="108" w:type="dxa"/>
            <w:bottom w:w="0" w:type="dxa"/>
            <w:right w:w="108" w:type="dxa"/>
          </w:tblCellMar>
        </w:tblPrEx>
        <w:trPr>
          <w:trHeight w:val="844" w:hRule="atLeast"/>
        </w:trPr>
        <w:tc>
          <w:tcPr>
            <w:tcW w:w="601"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长效管理机</w:t>
            </w:r>
          </w:p>
          <w:p>
            <w:pPr>
              <w:widowControl/>
              <w:jc w:val="center"/>
              <w:rPr>
                <w:rFonts w:ascii="仿宋" w:hAnsi="仿宋" w:eastAsia="仿宋" w:cs="宋体"/>
                <w:kern w:val="0"/>
                <w:sz w:val="24"/>
              </w:rPr>
            </w:pPr>
            <w:r>
              <w:rPr>
                <w:rFonts w:hint="eastAsia" w:ascii="仿宋" w:hAnsi="仿宋" w:eastAsia="仿宋" w:cs="宋体"/>
                <w:kern w:val="0"/>
                <w:sz w:val="24"/>
              </w:rPr>
              <w:t>制建设与执行</w:t>
            </w:r>
          </w:p>
        </w:tc>
        <w:tc>
          <w:tcPr>
            <w:tcW w:w="6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机制健全</w:t>
            </w:r>
          </w:p>
          <w:p>
            <w:pPr>
              <w:widowControl/>
              <w:jc w:val="center"/>
              <w:rPr>
                <w:rFonts w:ascii="仿宋" w:hAnsi="仿宋" w:eastAsia="仿宋" w:cs="宋体"/>
                <w:kern w:val="0"/>
                <w:sz w:val="24"/>
              </w:rPr>
            </w:pPr>
            <w:r>
              <w:rPr>
                <w:rFonts w:hint="eastAsia" w:ascii="仿宋" w:hAnsi="仿宋" w:eastAsia="仿宋" w:cs="宋体"/>
                <w:kern w:val="0"/>
                <w:sz w:val="24"/>
              </w:rPr>
              <w:t>执行有效</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必要的长效管理机制包括资金保障机制、核查细则研讨调整机制、部门联动协作机制等</w:t>
            </w:r>
          </w:p>
        </w:tc>
      </w:tr>
    </w:tbl>
    <w:p>
      <w:pPr>
        <w:spacing w:line="600" w:lineRule="exact"/>
        <w:ind w:firstLine="560" w:firstLineChars="200"/>
        <w:rPr>
          <w:rFonts w:ascii="仿宋" w:hAnsi="仿宋" w:eastAsia="仿宋"/>
          <w:bCs/>
          <w:sz w:val="28"/>
        </w:rPr>
        <w:sectPr>
          <w:pgSz w:w="16838" w:h="11906" w:orient="landscape"/>
          <w:pgMar w:top="1797" w:right="1440" w:bottom="1797" w:left="1440" w:header="851" w:footer="992" w:gutter="0"/>
          <w:cols w:space="425" w:num="1"/>
          <w:docGrid w:type="linesAndChars" w:linePitch="312" w:charSpace="0"/>
        </w:sectPr>
      </w:pPr>
    </w:p>
    <w:p>
      <w:pPr>
        <w:pStyle w:val="2"/>
        <w:ind w:firstLine="602"/>
        <w:rPr>
          <w:rFonts w:ascii="Arial" w:hAnsi="Arial" w:cs="Arial"/>
          <w:b/>
          <w:bCs w:val="0"/>
          <w:szCs w:val="30"/>
        </w:rPr>
      </w:pPr>
      <w:bookmarkStart w:id="5" w:name="_Toc86826144"/>
      <w:bookmarkStart w:id="6" w:name="_Toc86671088"/>
      <w:r>
        <w:rPr>
          <w:rFonts w:hint="eastAsia" w:ascii="Arial" w:hAnsi="Arial" w:cs="Arial"/>
          <w:b/>
          <w:bCs w:val="0"/>
          <w:szCs w:val="30"/>
        </w:rPr>
        <w:t>二、项目评审情况</w:t>
      </w:r>
      <w:bookmarkEnd w:id="5"/>
      <w:bookmarkEnd w:id="6"/>
    </w:p>
    <w:p>
      <w:pPr>
        <w:spacing w:line="600" w:lineRule="exact"/>
        <w:ind w:firstLine="560" w:firstLineChars="200"/>
        <w:rPr>
          <w:rFonts w:ascii="仿宋" w:hAnsi="仿宋" w:eastAsia="仿宋"/>
          <w:bCs/>
          <w:sz w:val="28"/>
        </w:rPr>
      </w:pPr>
      <w:r>
        <w:rPr>
          <w:rFonts w:hint="eastAsia" w:ascii="仿宋" w:hAnsi="仿宋" w:eastAsia="仿宋"/>
          <w:bCs/>
          <w:sz w:val="28"/>
        </w:rPr>
        <w:t>项目单位自评项目总得分为94分；经评审后得分结果为84.2分。其中项目决策权重50分，得分43.2分；项目管理权重30分，得分25.4分；项目绩效权重20分，得分15.6分。</w:t>
      </w:r>
    </w:p>
    <w:p>
      <w:pPr>
        <w:spacing w:line="600" w:lineRule="exact"/>
        <w:ind w:firstLine="560" w:firstLineChars="200"/>
        <w:rPr>
          <w:rFonts w:ascii="仿宋" w:hAnsi="仿宋" w:eastAsia="仿宋"/>
          <w:bCs/>
          <w:sz w:val="28"/>
        </w:rPr>
      </w:pPr>
      <w:r>
        <w:rPr>
          <w:rFonts w:hint="eastAsia" w:ascii="仿宋" w:hAnsi="仿宋" w:eastAsia="仿宋"/>
          <w:bCs/>
          <w:sz w:val="28"/>
        </w:rPr>
        <w:t>在项目决策方面，项目具有充分的立项依据，严格按照市级政策框架标准和区级配套指引细则设立，且自2020年起设立实施至今，设有一系列配套的管理机制，即必要性和可行性较高。</w:t>
      </w:r>
    </w:p>
    <w:p>
      <w:pPr>
        <w:spacing w:line="600" w:lineRule="exact"/>
        <w:ind w:firstLine="560" w:firstLineChars="200"/>
        <w:rPr>
          <w:rFonts w:ascii="仿宋" w:hAnsi="仿宋" w:eastAsia="仿宋"/>
          <w:bCs/>
          <w:sz w:val="28"/>
        </w:rPr>
      </w:pPr>
      <w:r>
        <w:rPr>
          <w:rFonts w:hint="eastAsia" w:ascii="仿宋" w:hAnsi="仿宋" w:eastAsia="仿宋"/>
          <w:bCs/>
          <w:sz w:val="28"/>
        </w:rPr>
        <w:t>在项目管理方面，闵行区人社局制定了区级工作指引，对项目的总体流程、申报门槛、审核标准进行明确，但由于培训项目的多样性与复杂性，区级细则标准仍需结合市级主管部门的政策框架更新情况定期动态调整。</w:t>
      </w:r>
    </w:p>
    <w:p>
      <w:pPr>
        <w:spacing w:line="600" w:lineRule="exact"/>
        <w:ind w:firstLine="560" w:firstLineChars="200"/>
        <w:rPr>
          <w:rFonts w:ascii="仿宋" w:hAnsi="仿宋" w:eastAsia="仿宋"/>
          <w:bCs/>
          <w:sz w:val="28"/>
        </w:rPr>
      </w:pPr>
      <w:r>
        <w:rPr>
          <w:rFonts w:hint="eastAsia" w:ascii="仿宋" w:hAnsi="仿宋" w:eastAsia="仿宋"/>
          <w:bCs/>
          <w:sz w:val="28"/>
        </w:rPr>
        <w:t>在项目绩效方面，项目具有较为明确的目标导向，经辅导完善后的绩效目标总体达到财政预算绩效目标编报质量要求，但部分绩效目标存在标杆值不量化、可衡量性不足的情况。</w:t>
      </w:r>
    </w:p>
    <w:p>
      <w:pPr>
        <w:pStyle w:val="2"/>
        <w:ind w:firstLine="602"/>
        <w:rPr>
          <w:rFonts w:ascii="Arial" w:hAnsi="Arial" w:cs="Arial"/>
          <w:b/>
          <w:bCs w:val="0"/>
          <w:szCs w:val="30"/>
        </w:rPr>
      </w:pPr>
      <w:bookmarkStart w:id="7" w:name="_Toc86826145"/>
      <w:bookmarkStart w:id="8" w:name="_Toc86671089"/>
      <w:r>
        <w:rPr>
          <w:rFonts w:hint="eastAsia" w:ascii="Arial" w:hAnsi="Arial" w:cs="Arial"/>
          <w:b/>
          <w:bCs w:val="0"/>
          <w:szCs w:val="30"/>
        </w:rPr>
        <w:t>三、项目存在问题与改进建议</w:t>
      </w:r>
      <w:bookmarkEnd w:id="7"/>
      <w:bookmarkEnd w:id="8"/>
    </w:p>
    <w:p>
      <w:pPr>
        <w:pStyle w:val="3"/>
        <w:spacing w:before="0" w:after="0" w:line="240" w:lineRule="auto"/>
        <w:ind w:firstLine="562" w:firstLineChars="200"/>
        <w:rPr>
          <w:rFonts w:ascii="仿宋" w:hAnsi="仿宋" w:eastAsia="仿宋" w:cs="Arial"/>
          <w:sz w:val="28"/>
          <w:szCs w:val="28"/>
        </w:rPr>
      </w:pPr>
      <w:r>
        <w:rPr>
          <w:rFonts w:hint="eastAsia" w:ascii="仿宋" w:hAnsi="仿宋" w:eastAsia="仿宋" w:cs="Arial"/>
          <w:sz w:val="28"/>
          <w:szCs w:val="28"/>
        </w:rPr>
        <w:t>（一）问题：2022年补贴尾款测算不够合理，资金预估偏高</w:t>
      </w:r>
    </w:p>
    <w:p>
      <w:pPr>
        <w:spacing w:line="600" w:lineRule="exact"/>
        <w:ind w:firstLine="560" w:firstLineChars="200"/>
        <w:rPr>
          <w:rFonts w:ascii="仿宋" w:hAnsi="仿宋" w:eastAsia="仿宋"/>
          <w:bCs/>
          <w:sz w:val="28"/>
        </w:rPr>
      </w:pPr>
      <w:r>
        <w:rPr>
          <w:rFonts w:hint="eastAsia" w:ascii="仿宋" w:hAnsi="仿宋" w:eastAsia="仿宋"/>
          <w:bCs/>
          <w:sz w:val="28"/>
        </w:rPr>
        <w:t>闵行区人社局编报的2023年项目预算中包含2022年度线上培训补贴尾款共计8300.04万元，占申报预算总额的88.28%。测算过程中以当期申报备案的培训人次（18.21万）为测算基数，其中可能存在放弃、注销等情况，且实际补贴人次将在后续审计/督导等核查过程中较申请补贴人次进一步减少。以申报备案培训人次预估，未充分考虑培训项目完成情况与企业补贴申请情况，导致所需资金预估偏高。</w:t>
      </w:r>
    </w:p>
    <w:p>
      <w:pPr>
        <w:spacing w:line="600" w:lineRule="exact"/>
        <w:ind w:firstLine="560" w:firstLineChars="200"/>
        <w:rPr>
          <w:rFonts w:ascii="仿宋" w:hAnsi="仿宋" w:eastAsia="仿宋"/>
          <w:bCs/>
          <w:sz w:val="28"/>
        </w:rPr>
      </w:pPr>
    </w:p>
    <w:p>
      <w:pPr>
        <w:ind w:firstLine="562" w:firstLineChars="200"/>
        <w:rPr>
          <w:rFonts w:ascii="仿宋" w:hAnsi="仿宋" w:eastAsia="仿宋"/>
          <w:b/>
          <w:bCs/>
          <w:sz w:val="28"/>
          <w:szCs w:val="28"/>
        </w:rPr>
      </w:pPr>
      <w:r>
        <w:rPr>
          <w:rFonts w:hint="eastAsia" w:ascii="仿宋" w:hAnsi="仿宋" w:eastAsia="仿宋"/>
          <w:b/>
          <w:bCs/>
          <w:sz w:val="28"/>
          <w:szCs w:val="28"/>
        </w:rPr>
        <w:t>建议：</w:t>
      </w:r>
      <w:r>
        <w:rPr>
          <w:rFonts w:hint="eastAsia" w:ascii="仿宋" w:hAnsi="仿宋" w:eastAsia="仿宋" w:cs="Arial"/>
          <w:b/>
          <w:bCs/>
          <w:sz w:val="28"/>
          <w:szCs w:val="28"/>
        </w:rPr>
        <w:t>按现阶段统计数据及筛减情况重新测算2022年补贴尾款所需资金</w:t>
      </w:r>
    </w:p>
    <w:p>
      <w:pPr>
        <w:spacing w:line="600" w:lineRule="exact"/>
        <w:ind w:firstLine="560" w:firstLineChars="200"/>
        <w:rPr>
          <w:rFonts w:ascii="仿宋" w:hAnsi="仿宋" w:eastAsia="仿宋"/>
          <w:bCs/>
          <w:sz w:val="28"/>
        </w:rPr>
      </w:pPr>
      <w:r>
        <w:rPr>
          <w:rFonts w:hint="eastAsia" w:ascii="仿宋" w:hAnsi="仿宋" w:eastAsia="仿宋"/>
          <w:bCs/>
          <w:sz w:val="28"/>
        </w:rPr>
        <w:t>建议闵行区人社局按照截至目前的统计数据（即14.08万申请补贴人次）为基数，结合后续人数增长（约1.8万人次）和核查筛减率（预估为25%）等要素测算所需经费（为4510万元）。</w:t>
      </w:r>
    </w:p>
    <w:p>
      <w:pPr>
        <w:pStyle w:val="3"/>
        <w:spacing w:before="0" w:after="0" w:line="240" w:lineRule="auto"/>
        <w:ind w:firstLine="562" w:firstLineChars="200"/>
        <w:rPr>
          <w:rFonts w:ascii="仿宋" w:hAnsi="仿宋" w:eastAsia="仿宋" w:cs="Arial"/>
          <w:sz w:val="28"/>
          <w:szCs w:val="28"/>
        </w:rPr>
      </w:pPr>
      <w:r>
        <w:rPr>
          <w:rFonts w:hint="eastAsia" w:ascii="仿宋" w:hAnsi="仿宋" w:eastAsia="仿宋" w:cs="Arial"/>
          <w:sz w:val="28"/>
          <w:szCs w:val="28"/>
        </w:rPr>
        <w:t>（二）问题：审核工作推进较为缓慢，2022年预算尚未执行</w:t>
      </w:r>
    </w:p>
    <w:p>
      <w:pPr>
        <w:spacing w:line="600" w:lineRule="exact"/>
        <w:ind w:firstLine="560" w:firstLineChars="200"/>
        <w:rPr>
          <w:rFonts w:ascii="仿宋" w:hAnsi="仿宋" w:eastAsia="仿宋"/>
          <w:bCs/>
          <w:sz w:val="28"/>
        </w:rPr>
      </w:pPr>
      <w:r>
        <w:rPr>
          <w:rFonts w:hint="eastAsia" w:ascii="仿宋" w:hAnsi="仿宋" w:eastAsia="仿宋"/>
          <w:bCs/>
          <w:sz w:val="28"/>
        </w:rPr>
        <w:t>截至2022年11月，2022年线上培训补贴项目的预算执行率为0%，首批核查工作尚在实施过程中，核查工作时效存在一定滞后，不利于政策援企减负目标的有效落实。</w:t>
      </w:r>
    </w:p>
    <w:p>
      <w:pPr>
        <w:ind w:firstLine="562" w:firstLineChars="200"/>
        <w:rPr>
          <w:rFonts w:ascii="仿宋" w:hAnsi="仿宋" w:eastAsia="仿宋"/>
          <w:b/>
          <w:bCs/>
          <w:sz w:val="28"/>
          <w:szCs w:val="28"/>
        </w:rPr>
      </w:pPr>
      <w:r>
        <w:rPr>
          <w:rFonts w:hint="eastAsia" w:ascii="仿宋" w:hAnsi="仿宋" w:eastAsia="仿宋"/>
          <w:b/>
          <w:bCs/>
          <w:sz w:val="28"/>
          <w:szCs w:val="28"/>
        </w:rPr>
        <w:t>建议：优化完善核查细则，加快推进资金拨付</w:t>
      </w:r>
    </w:p>
    <w:p>
      <w:pPr>
        <w:spacing w:line="600" w:lineRule="exact"/>
        <w:ind w:firstLine="560" w:firstLineChars="200"/>
        <w:rPr>
          <w:rFonts w:ascii="仿宋" w:hAnsi="仿宋" w:eastAsia="仿宋"/>
          <w:bCs/>
          <w:sz w:val="28"/>
        </w:rPr>
      </w:pPr>
      <w:r>
        <w:rPr>
          <w:rFonts w:hint="eastAsia" w:ascii="仿宋" w:hAnsi="仿宋" w:eastAsia="仿宋"/>
          <w:bCs/>
          <w:sz w:val="28"/>
        </w:rPr>
        <w:t>建议闵行区人社局加强与市级主管部门的对接，及时调整区级实施细则，同时加快推进2022年线上培训补贴项目的核查工作，严格按照工作指引与既定时间节点（2023年3月前）完成培训项目的督导与审计，尽快下拨补贴资金，切实减轻企业负担。</w:t>
      </w:r>
    </w:p>
    <w:p>
      <w:pPr>
        <w:pStyle w:val="3"/>
        <w:spacing w:before="0" w:after="0" w:line="240" w:lineRule="auto"/>
        <w:ind w:firstLine="562" w:firstLineChars="200"/>
        <w:rPr>
          <w:rFonts w:ascii="仿宋" w:hAnsi="仿宋" w:eastAsia="仿宋" w:cs="Arial"/>
          <w:sz w:val="28"/>
          <w:szCs w:val="28"/>
        </w:rPr>
      </w:pPr>
      <w:r>
        <w:rPr>
          <w:rFonts w:hint="eastAsia" w:ascii="仿宋" w:hAnsi="仿宋" w:eastAsia="仿宋" w:cs="Arial"/>
          <w:sz w:val="28"/>
          <w:szCs w:val="28"/>
        </w:rPr>
        <w:t>（三）问题：市级政策导向不明确，未充分排摸企业培训成本</w:t>
      </w:r>
    </w:p>
    <w:p>
      <w:pPr>
        <w:spacing w:line="600" w:lineRule="exact"/>
        <w:ind w:firstLine="560" w:firstLineChars="200"/>
        <w:rPr>
          <w:rFonts w:ascii="仿宋" w:hAnsi="仿宋" w:eastAsia="仿宋"/>
          <w:bCs/>
          <w:sz w:val="28"/>
        </w:rPr>
      </w:pPr>
      <w:r>
        <w:rPr>
          <w:rFonts w:hint="eastAsia" w:ascii="仿宋" w:hAnsi="仿宋" w:eastAsia="仿宋"/>
          <w:bCs/>
          <w:sz w:val="28"/>
        </w:rPr>
        <w:t>截至2022年11月，2023年市级政策标准暂未明确（单个企业可申报项目上限、每人次培训补贴标准等）。此外，市级主管部门未明确政策的导向侧重（减轻企业负担或提高技能水平），核查体系中未关注培训效果（考试合格率等）。经调研相关企业，部分企业培训投入小于政策补贴标准，不利于后续区级管理细则的调整完善，可能存在一定的政策风险隐患。</w:t>
      </w:r>
    </w:p>
    <w:p>
      <w:pPr>
        <w:ind w:firstLine="562" w:firstLineChars="200"/>
        <w:rPr>
          <w:rFonts w:ascii="仿宋" w:hAnsi="仿宋" w:eastAsia="仿宋"/>
          <w:b/>
          <w:bCs/>
          <w:sz w:val="28"/>
          <w:szCs w:val="28"/>
        </w:rPr>
      </w:pPr>
      <w:r>
        <w:rPr>
          <w:rFonts w:hint="eastAsia" w:ascii="仿宋" w:hAnsi="仿宋" w:eastAsia="仿宋"/>
          <w:b/>
          <w:bCs/>
          <w:sz w:val="28"/>
          <w:szCs w:val="28"/>
        </w:rPr>
        <w:t>建议：积极与上级部门沟通，明确政策导向，关注培训成本与补贴标准的匹配度</w:t>
      </w:r>
    </w:p>
    <w:p>
      <w:pPr>
        <w:spacing w:line="600" w:lineRule="exact"/>
        <w:ind w:firstLine="560" w:firstLineChars="200"/>
        <w:rPr>
          <w:rFonts w:ascii="仿宋" w:hAnsi="仿宋" w:eastAsia="仿宋"/>
          <w:bCs/>
          <w:sz w:val="28"/>
        </w:rPr>
      </w:pPr>
      <w:r>
        <w:rPr>
          <w:rFonts w:hint="eastAsia" w:ascii="仿宋" w:hAnsi="仿宋" w:eastAsia="仿宋"/>
          <w:bCs/>
          <w:sz w:val="28"/>
        </w:rPr>
        <w:t>建议区人社局在调研企业实际培训投入的基础上，积极与市级相关部门沟通对接，加快确定2023年政策标准，并进一步明确政策导向。同时，就可能带来的风险隐患，推进防范措施的制定与完善，并优化区级工作指引，合理高效推进政策执行。</w:t>
      </w:r>
    </w:p>
    <w:p>
      <w:pPr>
        <w:pStyle w:val="2"/>
        <w:ind w:firstLine="602"/>
        <w:rPr>
          <w:rFonts w:ascii="Arial" w:hAnsi="Arial" w:cs="Arial"/>
          <w:b/>
          <w:bCs w:val="0"/>
          <w:szCs w:val="30"/>
        </w:rPr>
      </w:pPr>
      <w:bookmarkStart w:id="9" w:name="_Toc86826148"/>
      <w:bookmarkStart w:id="10" w:name="_Toc86671092"/>
      <w:r>
        <w:rPr>
          <w:rFonts w:hint="eastAsia" w:ascii="Arial" w:hAnsi="Arial" w:cs="Arial"/>
          <w:b/>
          <w:bCs w:val="0"/>
          <w:szCs w:val="30"/>
        </w:rPr>
        <w:t>四、项目预算审核意见</w:t>
      </w:r>
      <w:bookmarkEnd w:id="9"/>
      <w:bookmarkEnd w:id="10"/>
    </w:p>
    <w:p>
      <w:pPr>
        <w:spacing w:line="600" w:lineRule="exact"/>
        <w:ind w:firstLine="560" w:firstLineChars="200"/>
        <w:rPr>
          <w:rFonts w:ascii="仿宋" w:hAnsi="仿宋" w:eastAsia="仿宋"/>
          <w:bCs/>
          <w:sz w:val="28"/>
        </w:rPr>
      </w:pPr>
      <w:r>
        <w:rPr>
          <w:rFonts w:hint="eastAsia" w:ascii="仿宋" w:hAnsi="仿宋" w:eastAsia="仿宋"/>
          <w:bCs/>
          <w:sz w:val="28"/>
        </w:rPr>
        <w:t>经专家评审，本项目申报预算金额9402万元，审核金额为4850万元，核减金额为4552万元，核减率为48.42%。补充申报后，申报金额为10670万元，审核金额为6880万元，核减金额为3790万元，核减率为35.52%，审核明细详见</w:t>
      </w:r>
      <w:r>
        <w:rPr>
          <w:rFonts w:hint="eastAsia" w:ascii="仿宋" w:hAnsi="仿宋" w:eastAsia="仿宋"/>
          <w:b/>
          <w:bCs/>
          <w:sz w:val="28"/>
          <w:u w:val="single"/>
        </w:rPr>
        <w:t>附件1</w:t>
      </w:r>
      <w:r>
        <w:rPr>
          <w:rFonts w:hint="eastAsia" w:ascii="仿宋" w:hAnsi="仿宋" w:eastAsia="仿宋"/>
          <w:bCs/>
          <w:sz w:val="28"/>
        </w:rPr>
        <w:t>。</w:t>
      </w:r>
    </w:p>
    <w:p>
      <w:pPr>
        <w:spacing w:line="600" w:lineRule="exact"/>
        <w:ind w:firstLine="562" w:firstLineChars="200"/>
        <w:rPr>
          <w:rFonts w:ascii="仿宋" w:hAnsi="仿宋" w:eastAsia="仿宋"/>
          <w:b/>
          <w:bCs/>
          <w:sz w:val="28"/>
        </w:rPr>
      </w:pPr>
      <w:r>
        <w:rPr>
          <w:rFonts w:hint="eastAsia" w:ascii="仿宋" w:hAnsi="仿宋" w:eastAsia="仿宋"/>
          <w:b/>
          <w:bCs/>
          <w:sz w:val="28"/>
        </w:rPr>
        <w:t>（一）2022年培训补贴尾款</w:t>
      </w:r>
    </w:p>
    <w:p>
      <w:pPr>
        <w:spacing w:line="600" w:lineRule="exact"/>
        <w:ind w:firstLine="560" w:firstLineChars="200"/>
        <w:rPr>
          <w:rFonts w:ascii="仿宋" w:hAnsi="仿宋" w:eastAsia="仿宋"/>
          <w:bCs/>
          <w:sz w:val="28"/>
        </w:rPr>
      </w:pPr>
      <w:r>
        <w:rPr>
          <w:rFonts w:hint="eastAsia" w:ascii="仿宋" w:hAnsi="仿宋" w:eastAsia="仿宋"/>
          <w:bCs/>
          <w:sz w:val="28"/>
        </w:rPr>
        <w:t>申报预算8300.04万元，审核预算4510万元，核减率为45.66%。</w:t>
      </w:r>
    </w:p>
    <w:p>
      <w:pPr>
        <w:spacing w:line="600" w:lineRule="exact"/>
        <w:ind w:firstLine="560" w:firstLineChars="200"/>
        <w:rPr>
          <w:rFonts w:ascii="仿宋" w:hAnsi="仿宋" w:eastAsia="仿宋"/>
          <w:bCs/>
          <w:sz w:val="28"/>
        </w:rPr>
      </w:pPr>
      <w:r>
        <w:rPr>
          <w:rFonts w:hint="eastAsia" w:ascii="仿宋" w:hAnsi="仿宋" w:eastAsia="仿宋"/>
          <w:bCs/>
          <w:sz w:val="28"/>
        </w:rPr>
        <w:t>截止到2022年11月，已完成项目培训和学员名单导入（核查与资金拨付的前置条件）的企业共计1092家，14万人次（取整）。按目前实际情况预估人次增长为3000人次/周，截止到2022年12月31日尚有6周，即人次总增量为1.8万人次。2021年历史筛减率为20.16%，预估2023年筛减率为25%。故测算所需经费=预估所需资金总量-2022年预算规模=600元/人次×（14+1.8）万人次×（1-25%）-2600万元=7110万元-2600万元=4510万元。</w:t>
      </w:r>
    </w:p>
    <w:p>
      <w:pPr>
        <w:spacing w:line="600" w:lineRule="exact"/>
        <w:ind w:firstLine="562" w:firstLineChars="200"/>
        <w:rPr>
          <w:rFonts w:ascii="仿宋" w:hAnsi="仿宋" w:eastAsia="仿宋"/>
          <w:b/>
          <w:bCs/>
          <w:sz w:val="28"/>
        </w:rPr>
      </w:pPr>
      <w:r>
        <w:rPr>
          <w:rFonts w:hint="eastAsia" w:ascii="仿宋" w:hAnsi="仿宋" w:eastAsia="仿宋"/>
          <w:b/>
          <w:bCs/>
          <w:sz w:val="28"/>
        </w:rPr>
        <w:t>（二）2023年培训补贴</w:t>
      </w:r>
    </w:p>
    <w:p>
      <w:pPr>
        <w:spacing w:line="600" w:lineRule="exact"/>
        <w:ind w:firstLine="560" w:firstLineChars="200"/>
        <w:rPr>
          <w:rFonts w:ascii="仿宋" w:hAnsi="仿宋" w:eastAsia="仿宋"/>
          <w:bCs/>
          <w:sz w:val="28"/>
        </w:rPr>
      </w:pPr>
      <w:r>
        <w:rPr>
          <w:rFonts w:hint="eastAsia" w:ascii="仿宋" w:hAnsi="仿宋" w:eastAsia="仿宋"/>
          <w:bCs/>
          <w:sz w:val="28"/>
        </w:rPr>
        <w:t>补充申报预算为2370万元，审核预算2370万元。按2022年预估总人次即15.8万人次的三分之一（预估项目上限由3个变为1个）测算2023年培训总人次，筛减率取25%。所需经费=15.8万人次÷3×（1-25%）×600元/人次=2370万元。</w:t>
      </w:r>
    </w:p>
    <w:p>
      <w:pPr>
        <w:spacing w:line="600" w:lineRule="exact"/>
        <w:ind w:firstLine="562" w:firstLineChars="200"/>
        <w:rPr>
          <w:rFonts w:ascii="仿宋" w:hAnsi="仿宋" w:eastAsia="仿宋"/>
          <w:bCs/>
          <w:sz w:val="28"/>
        </w:rPr>
      </w:pPr>
      <w:r>
        <w:rPr>
          <w:rFonts w:hint="eastAsia" w:ascii="仿宋" w:hAnsi="仿宋" w:eastAsia="仿宋"/>
          <w:b/>
          <w:bCs/>
          <w:sz w:val="28"/>
        </w:rPr>
        <w:t>注：</w:t>
      </w:r>
      <w:r>
        <w:rPr>
          <w:rFonts w:hint="eastAsia" w:ascii="仿宋" w:hAnsi="仿宋" w:eastAsia="仿宋"/>
          <w:bCs/>
          <w:sz w:val="28"/>
        </w:rPr>
        <w:t>申报金额为1101.96万元，按1次/企业/年和600元/人次的标准，参照2022年申请备案培训人次的10%（约18366人次）预估测算所需经费。</w:t>
      </w:r>
    </w:p>
    <w:p>
      <w:pPr>
        <w:pStyle w:val="2"/>
        <w:ind w:firstLine="602"/>
        <w:rPr>
          <w:rFonts w:ascii="Arial" w:hAnsi="Arial" w:cs="Arial"/>
          <w:b/>
          <w:bCs w:val="0"/>
          <w:szCs w:val="30"/>
        </w:rPr>
      </w:pPr>
      <w:bookmarkStart w:id="11" w:name="_Toc86826151"/>
      <w:bookmarkStart w:id="12" w:name="二、项目结果应用情况"/>
      <w:bookmarkStart w:id="13" w:name="_Toc86671095"/>
      <w:r>
        <w:rPr>
          <w:rFonts w:hint="eastAsia" w:ascii="Arial" w:hAnsi="Arial" w:cs="Arial"/>
          <w:b/>
          <w:bCs w:val="0"/>
          <w:szCs w:val="30"/>
        </w:rPr>
        <w:t>五、项目结果应用情况</w:t>
      </w:r>
      <w:bookmarkEnd w:id="11"/>
      <w:bookmarkEnd w:id="12"/>
      <w:bookmarkEnd w:id="13"/>
    </w:p>
    <w:p>
      <w:pPr>
        <w:ind w:firstLine="560" w:firstLineChars="200"/>
        <w:rPr>
          <w:rFonts w:ascii="仿宋" w:hAnsi="仿宋" w:eastAsia="仿宋"/>
          <w:sz w:val="28"/>
          <w:szCs w:val="28"/>
        </w:rPr>
      </w:pPr>
      <w:r>
        <w:rPr>
          <w:rFonts w:hint="eastAsia" w:ascii="仿宋" w:hAnsi="仿宋" w:eastAsia="仿宋"/>
          <w:sz w:val="28"/>
          <w:szCs w:val="28"/>
        </w:rPr>
        <w:t>无。</w:t>
      </w:r>
    </w:p>
    <w:p>
      <w:pPr>
        <w:ind w:firstLine="554" w:firstLineChars="198"/>
        <w:rPr>
          <w:rFonts w:ascii="仿宋" w:hAnsi="仿宋" w:eastAsia="仿宋"/>
          <w:bCs/>
          <w:sz w:val="28"/>
        </w:rPr>
      </w:pPr>
      <w:bookmarkStart w:id="14" w:name="_GoBack"/>
      <w:bookmarkEnd w:id="14"/>
    </w:p>
    <w:p>
      <w:pPr>
        <w:ind w:firstLine="554" w:firstLineChars="198"/>
        <w:rPr>
          <w:rFonts w:ascii="仿宋" w:hAnsi="仿宋" w:eastAsia="仿宋"/>
          <w:bCs/>
          <w:sz w:val="28"/>
        </w:rPr>
      </w:pPr>
    </w:p>
    <w:p>
      <w:pPr>
        <w:ind w:firstLine="554" w:firstLineChars="198"/>
        <w:rPr>
          <w:rFonts w:ascii="仿宋" w:hAnsi="仿宋" w:eastAsia="仿宋"/>
          <w:bCs/>
          <w:sz w:val="28"/>
        </w:rPr>
      </w:pPr>
    </w:p>
    <w:p>
      <w:pPr>
        <w:spacing w:line="600" w:lineRule="exact"/>
        <w:ind w:firstLine="560" w:firstLineChars="200"/>
        <w:jc w:val="right"/>
        <w:rPr>
          <w:rFonts w:ascii="仿宋" w:hAnsi="仿宋" w:eastAsia="仿宋"/>
          <w:bCs/>
          <w:sz w:val="28"/>
        </w:rPr>
        <w:sectPr>
          <w:pgSz w:w="11906" w:h="16838"/>
          <w:pgMar w:top="1440" w:right="1800" w:bottom="1440" w:left="1800" w:header="851" w:footer="992" w:gutter="0"/>
          <w:cols w:space="425" w:num="1"/>
          <w:docGrid w:type="lines" w:linePitch="312" w:charSpace="0"/>
        </w:sectPr>
      </w:pPr>
      <w:r>
        <w:rPr>
          <w:rFonts w:hint="eastAsia" w:ascii="仿宋" w:hAnsi="仿宋" w:eastAsia="仿宋"/>
          <w:bCs/>
          <w:sz w:val="28"/>
        </w:rPr>
        <w:t>2022年12月</w:t>
      </w:r>
    </w:p>
    <w:p>
      <w:pPr>
        <w:tabs>
          <w:tab w:val="left" w:pos="2100"/>
        </w:tabs>
        <w:spacing w:line="600" w:lineRule="exact"/>
        <w:ind w:right="140"/>
        <w:jc w:val="left"/>
        <w:rPr>
          <w:rFonts w:ascii="仿宋" w:hAnsi="仿宋" w:eastAsia="仿宋"/>
          <w:b/>
          <w:sz w:val="28"/>
        </w:rPr>
      </w:pPr>
    </w:p>
    <w:sectPr>
      <w:footerReference r:id="rId5"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賫..">
    <w:altName w:val="仿宋"/>
    <w:panose1 w:val="00000000000000000000"/>
    <w:charset w:val="7A"/>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217374"/>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18</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OGJlMTNkMWJkOTA1ODlmYjg0NzJjMGVjNjUzZjQifQ=="/>
  </w:docVars>
  <w:rsids>
    <w:rsidRoot w:val="00DF1946"/>
    <w:rsid w:val="00040E35"/>
    <w:rsid w:val="00050D4D"/>
    <w:rsid w:val="000629C2"/>
    <w:rsid w:val="00071A05"/>
    <w:rsid w:val="0007200D"/>
    <w:rsid w:val="00077198"/>
    <w:rsid w:val="00093D59"/>
    <w:rsid w:val="000F2395"/>
    <w:rsid w:val="00112339"/>
    <w:rsid w:val="00113A09"/>
    <w:rsid w:val="001321B9"/>
    <w:rsid w:val="00155192"/>
    <w:rsid w:val="00182C45"/>
    <w:rsid w:val="001975B0"/>
    <w:rsid w:val="001A6786"/>
    <w:rsid w:val="001B2D44"/>
    <w:rsid w:val="001E59A1"/>
    <w:rsid w:val="001F33EE"/>
    <w:rsid w:val="00225852"/>
    <w:rsid w:val="00241949"/>
    <w:rsid w:val="002430C0"/>
    <w:rsid w:val="00245182"/>
    <w:rsid w:val="0025456E"/>
    <w:rsid w:val="00263A1F"/>
    <w:rsid w:val="00267CA0"/>
    <w:rsid w:val="0029708B"/>
    <w:rsid w:val="002D6CA8"/>
    <w:rsid w:val="002E392F"/>
    <w:rsid w:val="00303DC0"/>
    <w:rsid w:val="00311FDF"/>
    <w:rsid w:val="003345F2"/>
    <w:rsid w:val="003436D0"/>
    <w:rsid w:val="00347B95"/>
    <w:rsid w:val="00377FC9"/>
    <w:rsid w:val="00392296"/>
    <w:rsid w:val="003B40A3"/>
    <w:rsid w:val="003D5DA3"/>
    <w:rsid w:val="003F6976"/>
    <w:rsid w:val="00413A21"/>
    <w:rsid w:val="00436DD1"/>
    <w:rsid w:val="00442ACE"/>
    <w:rsid w:val="00470A4E"/>
    <w:rsid w:val="00473423"/>
    <w:rsid w:val="00481FE1"/>
    <w:rsid w:val="004971D1"/>
    <w:rsid w:val="004A7C24"/>
    <w:rsid w:val="004C4601"/>
    <w:rsid w:val="00516176"/>
    <w:rsid w:val="00535AEF"/>
    <w:rsid w:val="0055363C"/>
    <w:rsid w:val="005572B1"/>
    <w:rsid w:val="0057443A"/>
    <w:rsid w:val="005821B5"/>
    <w:rsid w:val="005B18BF"/>
    <w:rsid w:val="005B62D8"/>
    <w:rsid w:val="005C3DB9"/>
    <w:rsid w:val="005D0DAD"/>
    <w:rsid w:val="005D24DC"/>
    <w:rsid w:val="005D55B0"/>
    <w:rsid w:val="005D6E7E"/>
    <w:rsid w:val="006345AC"/>
    <w:rsid w:val="00644304"/>
    <w:rsid w:val="0069060D"/>
    <w:rsid w:val="006B63A9"/>
    <w:rsid w:val="006E00BB"/>
    <w:rsid w:val="006E11A0"/>
    <w:rsid w:val="0076342A"/>
    <w:rsid w:val="00775723"/>
    <w:rsid w:val="00791FAD"/>
    <w:rsid w:val="0079212D"/>
    <w:rsid w:val="007A1374"/>
    <w:rsid w:val="007A261C"/>
    <w:rsid w:val="007B1211"/>
    <w:rsid w:val="007B21DC"/>
    <w:rsid w:val="007B5821"/>
    <w:rsid w:val="007C2455"/>
    <w:rsid w:val="007C4D5D"/>
    <w:rsid w:val="007E39AF"/>
    <w:rsid w:val="007F00DB"/>
    <w:rsid w:val="00824197"/>
    <w:rsid w:val="00825161"/>
    <w:rsid w:val="008308C1"/>
    <w:rsid w:val="00850D25"/>
    <w:rsid w:val="00871D3C"/>
    <w:rsid w:val="00877236"/>
    <w:rsid w:val="00881848"/>
    <w:rsid w:val="00883435"/>
    <w:rsid w:val="00885324"/>
    <w:rsid w:val="00891CEB"/>
    <w:rsid w:val="008B4BC8"/>
    <w:rsid w:val="008B61A3"/>
    <w:rsid w:val="008B747B"/>
    <w:rsid w:val="008D74AE"/>
    <w:rsid w:val="008E231B"/>
    <w:rsid w:val="009021C0"/>
    <w:rsid w:val="00930057"/>
    <w:rsid w:val="009419B7"/>
    <w:rsid w:val="0095711B"/>
    <w:rsid w:val="00975138"/>
    <w:rsid w:val="00987C5E"/>
    <w:rsid w:val="009B4F85"/>
    <w:rsid w:val="009C130F"/>
    <w:rsid w:val="009C3B44"/>
    <w:rsid w:val="009E368B"/>
    <w:rsid w:val="00A06712"/>
    <w:rsid w:val="00A119C1"/>
    <w:rsid w:val="00A4388E"/>
    <w:rsid w:val="00A443E1"/>
    <w:rsid w:val="00A47426"/>
    <w:rsid w:val="00A6098A"/>
    <w:rsid w:val="00A60A45"/>
    <w:rsid w:val="00A82BC6"/>
    <w:rsid w:val="00A86C73"/>
    <w:rsid w:val="00A925D4"/>
    <w:rsid w:val="00A9612E"/>
    <w:rsid w:val="00AB2826"/>
    <w:rsid w:val="00AC65EA"/>
    <w:rsid w:val="00AD0105"/>
    <w:rsid w:val="00B00AA4"/>
    <w:rsid w:val="00B27B4B"/>
    <w:rsid w:val="00B3206B"/>
    <w:rsid w:val="00B470A2"/>
    <w:rsid w:val="00B52C25"/>
    <w:rsid w:val="00B54911"/>
    <w:rsid w:val="00B570C9"/>
    <w:rsid w:val="00B665A2"/>
    <w:rsid w:val="00B728DA"/>
    <w:rsid w:val="00B9567D"/>
    <w:rsid w:val="00BC4358"/>
    <w:rsid w:val="00BD0A0D"/>
    <w:rsid w:val="00BD1472"/>
    <w:rsid w:val="00BD5ECB"/>
    <w:rsid w:val="00BF0116"/>
    <w:rsid w:val="00BF78D5"/>
    <w:rsid w:val="00C129F5"/>
    <w:rsid w:val="00C26385"/>
    <w:rsid w:val="00C534E1"/>
    <w:rsid w:val="00C96564"/>
    <w:rsid w:val="00C968BC"/>
    <w:rsid w:val="00CD48F6"/>
    <w:rsid w:val="00CF7C5D"/>
    <w:rsid w:val="00D331B9"/>
    <w:rsid w:val="00D431C9"/>
    <w:rsid w:val="00D455A7"/>
    <w:rsid w:val="00D51EF0"/>
    <w:rsid w:val="00D63AC0"/>
    <w:rsid w:val="00D71958"/>
    <w:rsid w:val="00D8428E"/>
    <w:rsid w:val="00D85203"/>
    <w:rsid w:val="00D86A6C"/>
    <w:rsid w:val="00DA5843"/>
    <w:rsid w:val="00DF1946"/>
    <w:rsid w:val="00DF2B47"/>
    <w:rsid w:val="00DF3658"/>
    <w:rsid w:val="00E14208"/>
    <w:rsid w:val="00E33023"/>
    <w:rsid w:val="00E366A8"/>
    <w:rsid w:val="00E755D5"/>
    <w:rsid w:val="00E8231C"/>
    <w:rsid w:val="00E85575"/>
    <w:rsid w:val="00E92916"/>
    <w:rsid w:val="00E92D02"/>
    <w:rsid w:val="00E94A41"/>
    <w:rsid w:val="00ED0A52"/>
    <w:rsid w:val="00EE047D"/>
    <w:rsid w:val="00EE0B84"/>
    <w:rsid w:val="00EE11C3"/>
    <w:rsid w:val="00F1357C"/>
    <w:rsid w:val="00F16C38"/>
    <w:rsid w:val="00F35E35"/>
    <w:rsid w:val="00F45CA4"/>
    <w:rsid w:val="00F6289B"/>
    <w:rsid w:val="00F66BE2"/>
    <w:rsid w:val="00F75362"/>
    <w:rsid w:val="00FF1352"/>
    <w:rsid w:val="0F7A6D8E"/>
    <w:rsid w:val="12900C69"/>
    <w:rsid w:val="1BD96DDB"/>
    <w:rsid w:val="2D3E1E54"/>
    <w:rsid w:val="3AA46774"/>
    <w:rsid w:val="596C4966"/>
    <w:rsid w:val="5A0E1D6B"/>
    <w:rsid w:val="655C3499"/>
    <w:rsid w:val="6DE553F0"/>
    <w:rsid w:val="772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ind w:firstLine="200" w:firstLineChars="200"/>
      <w:outlineLvl w:val="0"/>
    </w:pPr>
    <w:rPr>
      <w:rFonts w:ascii="Calibri" w:hAnsi="Calibri" w:eastAsia="黑体"/>
      <w:bCs/>
      <w:kern w:val="44"/>
      <w:sz w:val="30"/>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3"/>
    <w:semiHidden/>
    <w:unhideWhenUsed/>
    <w:qFormat/>
    <w:uiPriority w:val="99"/>
    <w:pPr>
      <w:jc w:val="left"/>
    </w:pPr>
  </w:style>
  <w:style w:type="paragraph" w:styleId="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Date"/>
    <w:basedOn w:val="1"/>
    <w:next w:val="1"/>
    <w:link w:val="25"/>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2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widowControl/>
      <w:spacing w:after="100" w:line="1100" w:lineRule="exact"/>
      <w:jc w:val="left"/>
    </w:pPr>
    <w:rPr>
      <w:rFonts w:ascii="黑体" w:hAnsi="黑体" w:eastAsia="黑体" w:cstheme="minorBidi"/>
      <w:b/>
      <w:bCs/>
      <w:kern w:val="0"/>
      <w:sz w:val="28"/>
      <w:szCs w:val="22"/>
    </w:rPr>
  </w:style>
  <w:style w:type="paragraph" w:styleId="1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154"/>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9"/>
    <w:rPr>
      <w:rFonts w:ascii="Calibri" w:hAnsi="Calibri" w:eastAsia="黑体" w:cs="Times New Roman"/>
      <w:bCs/>
      <w:kern w:val="44"/>
      <w:sz w:val="30"/>
      <w:szCs w:val="44"/>
    </w:rPr>
  </w:style>
  <w:style w:type="character" w:customStyle="1" w:styleId="21">
    <w:name w:val="标题 2 Char"/>
    <w:basedOn w:val="16"/>
    <w:link w:val="3"/>
    <w:semiHidden/>
    <w:uiPriority w:val="9"/>
    <w:rPr>
      <w:rFonts w:asciiTheme="majorHAnsi" w:hAnsiTheme="majorHAnsi" w:eastAsiaTheme="majorEastAsia" w:cstheme="majorBidi"/>
      <w:b/>
      <w:bCs/>
      <w:sz w:val="32"/>
      <w:szCs w:val="32"/>
    </w:rPr>
  </w:style>
  <w:style w:type="character" w:customStyle="1" w:styleId="22">
    <w:name w:val="页眉 Char"/>
    <w:basedOn w:val="16"/>
    <w:link w:val="9"/>
    <w:qFormat/>
    <w:uiPriority w:val="99"/>
    <w:rPr>
      <w:sz w:val="18"/>
      <w:szCs w:val="18"/>
    </w:rPr>
  </w:style>
  <w:style w:type="character" w:customStyle="1" w:styleId="23">
    <w:name w:val="页脚 Char"/>
    <w:basedOn w:val="16"/>
    <w:link w:val="8"/>
    <w:qFormat/>
    <w:uiPriority w:val="0"/>
    <w:rPr>
      <w:sz w:val="18"/>
      <w:szCs w:val="18"/>
    </w:rPr>
  </w:style>
  <w:style w:type="paragraph" w:styleId="24">
    <w:name w:val="List Paragraph"/>
    <w:basedOn w:val="1"/>
    <w:qFormat/>
    <w:uiPriority w:val="34"/>
    <w:pPr>
      <w:ind w:firstLine="420" w:firstLineChars="200"/>
    </w:pPr>
  </w:style>
  <w:style w:type="character" w:customStyle="1" w:styleId="25">
    <w:name w:val="日期 Char"/>
    <w:basedOn w:val="16"/>
    <w:link w:val="6"/>
    <w:semiHidden/>
    <w:qFormat/>
    <w:uiPriority w:val="99"/>
    <w:rPr>
      <w:rFonts w:ascii="Times New Roman" w:hAnsi="Times New Roman" w:eastAsia="宋体" w:cs="Times New Roman"/>
      <w:szCs w:val="24"/>
    </w:rPr>
  </w:style>
  <w:style w:type="paragraph" w:customStyle="1" w:styleId="26">
    <w:name w:val="TOC 标题1"/>
    <w:basedOn w:val="2"/>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27">
    <w:name w:val="批注框文本 Char"/>
    <w:basedOn w:val="16"/>
    <w:link w:val="7"/>
    <w:semiHidden/>
    <w:uiPriority w:val="99"/>
    <w:rPr>
      <w:rFonts w:ascii="Times New Roman" w:hAnsi="Times New Roman" w:eastAsia="宋体" w:cs="Times New Roman"/>
      <w:sz w:val="18"/>
      <w:szCs w:val="18"/>
    </w:rPr>
  </w:style>
  <w:style w:type="paragraph" w:customStyle="1" w:styleId="28">
    <w:name w:val="font5"/>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9">
    <w:name w:val="font6"/>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30">
    <w:name w:val="xl107"/>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1">
    <w:name w:val="xl108"/>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32">
    <w:name w:val="xl10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33">
    <w:name w:val="xl110"/>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3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1">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3">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jc w:val="center"/>
      <w:textAlignment w:val="center"/>
    </w:pPr>
    <w:rPr>
      <w:rFonts w:ascii="宋体" w:hAnsi="宋体" w:cs="宋体"/>
      <w:kern w:val="0"/>
      <w:sz w:val="18"/>
      <w:szCs w:val="18"/>
    </w:rPr>
  </w:style>
  <w:style w:type="paragraph" w:customStyle="1" w:styleId="5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9">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E6B8B7"/>
      <w:spacing w:before="100" w:beforeAutospacing="1" w:after="100" w:afterAutospacing="1"/>
      <w:jc w:val="center"/>
      <w:textAlignment w:val="center"/>
    </w:pPr>
    <w:rPr>
      <w:rFonts w:ascii="宋体" w:hAnsi="宋体" w:cs="宋体"/>
      <w:b/>
      <w:bCs/>
      <w:kern w:val="0"/>
      <w:sz w:val="18"/>
      <w:szCs w:val="18"/>
    </w:rPr>
  </w:style>
  <w:style w:type="paragraph" w:customStyle="1" w:styleId="60">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E6B8B7"/>
      <w:spacing w:before="100" w:beforeAutospacing="1" w:after="100" w:afterAutospacing="1"/>
      <w:jc w:val="center"/>
      <w:textAlignment w:val="center"/>
    </w:pPr>
    <w:rPr>
      <w:rFonts w:ascii="宋体" w:hAnsi="宋体" w:cs="宋体"/>
      <w:b/>
      <w:bCs/>
      <w:kern w:val="0"/>
      <w:sz w:val="18"/>
      <w:szCs w:val="18"/>
    </w:rPr>
  </w:style>
  <w:style w:type="paragraph" w:customStyle="1" w:styleId="61">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4">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
    <w:name w:val="xl1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0">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3">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4">
    <w:name w:val="xl15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5">
    <w:name w:val="xl1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6">
    <w:name w:val="xl153"/>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77">
    <w:name w:val="xl1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8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81">
    <w:name w:val="xl1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2">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3">
    <w:name w:val="xl160"/>
    <w:basedOn w:val="1"/>
    <w:qFormat/>
    <w:uiPriority w:val="0"/>
    <w:pPr>
      <w:widowControl/>
      <w:pBdr>
        <w:top w:val="single" w:color="auto" w:sz="4" w:space="0"/>
        <w:left w:val="single" w:color="auto" w:sz="4" w:space="0"/>
        <w:bottom w:val="single" w:color="auto" w:sz="4" w:space="0"/>
      </w:pBdr>
      <w:shd w:val="clear" w:color="000000" w:fill="E6B8B7"/>
      <w:spacing w:before="100" w:beforeAutospacing="1" w:after="100" w:afterAutospacing="1"/>
      <w:jc w:val="center"/>
      <w:textAlignment w:val="center"/>
    </w:pPr>
    <w:rPr>
      <w:rFonts w:ascii="宋体" w:hAnsi="宋体" w:cs="宋体"/>
      <w:b/>
      <w:bCs/>
      <w:kern w:val="0"/>
      <w:sz w:val="18"/>
      <w:szCs w:val="18"/>
    </w:rPr>
  </w:style>
  <w:style w:type="paragraph" w:customStyle="1" w:styleId="84">
    <w:name w:val="xl161"/>
    <w:basedOn w:val="1"/>
    <w:qFormat/>
    <w:uiPriority w:val="0"/>
    <w:pPr>
      <w:widowControl/>
      <w:pBdr>
        <w:top w:val="single" w:color="auto" w:sz="4" w:space="0"/>
        <w:bottom w:val="single" w:color="auto" w:sz="4" w:space="0"/>
      </w:pBdr>
      <w:shd w:val="clear" w:color="000000" w:fill="E6B8B7"/>
      <w:spacing w:before="100" w:beforeAutospacing="1" w:after="100" w:afterAutospacing="1"/>
      <w:jc w:val="center"/>
      <w:textAlignment w:val="center"/>
    </w:pPr>
    <w:rPr>
      <w:rFonts w:ascii="宋体" w:hAnsi="宋体" w:cs="宋体"/>
      <w:b/>
      <w:bCs/>
      <w:kern w:val="0"/>
      <w:sz w:val="18"/>
      <w:szCs w:val="18"/>
    </w:rPr>
  </w:style>
  <w:style w:type="paragraph" w:customStyle="1" w:styleId="85">
    <w:name w:val="xl162"/>
    <w:basedOn w:val="1"/>
    <w:qFormat/>
    <w:uiPriority w:val="0"/>
    <w:pPr>
      <w:widowControl/>
      <w:pBdr>
        <w:top w:val="single" w:color="auto" w:sz="4" w:space="0"/>
        <w:bottom w:val="single" w:color="auto" w:sz="4" w:space="0"/>
        <w:right w:val="single" w:color="auto" w:sz="4" w:space="0"/>
      </w:pBdr>
      <w:shd w:val="clear" w:color="000000" w:fill="E6B8B7"/>
      <w:spacing w:before="100" w:beforeAutospacing="1" w:after="100" w:afterAutospacing="1"/>
      <w:jc w:val="center"/>
      <w:textAlignment w:val="center"/>
    </w:pPr>
    <w:rPr>
      <w:rFonts w:ascii="宋体" w:hAnsi="宋体" w:cs="宋体"/>
      <w:b/>
      <w:bCs/>
      <w:kern w:val="0"/>
      <w:sz w:val="18"/>
      <w:szCs w:val="18"/>
    </w:rPr>
  </w:style>
  <w:style w:type="paragraph" w:customStyle="1" w:styleId="86">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7">
    <w:name w:val="xl16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8">
    <w:name w:val="xl16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9">
    <w:name w:val="xl166"/>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0">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1">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2">
    <w:name w:val="xl16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3">
    <w:name w:val="xl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4">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5">
    <w:name w:val="xl17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6">
    <w:name w:val="xl1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7">
    <w:name w:val="xl1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8">
    <w:name w:val="xl1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9">
    <w:name w:val="xl1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0">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1">
    <w:name w:val="xl178"/>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02">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3">
    <w:name w:val="xl18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4">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5">
    <w:name w:val="font7"/>
    <w:basedOn w:val="1"/>
    <w:qFormat/>
    <w:uiPriority w:val="0"/>
    <w:pPr>
      <w:widowControl/>
      <w:spacing w:before="100" w:beforeAutospacing="1" w:after="100" w:afterAutospacing="1"/>
      <w:jc w:val="left"/>
    </w:pPr>
    <w:rPr>
      <w:kern w:val="0"/>
      <w:sz w:val="18"/>
      <w:szCs w:val="18"/>
    </w:rPr>
  </w:style>
  <w:style w:type="paragraph" w:customStyle="1" w:styleId="106">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7">
    <w:name w:val="font9"/>
    <w:basedOn w:val="1"/>
    <w:qFormat/>
    <w:uiPriority w:val="0"/>
    <w:pPr>
      <w:widowControl/>
      <w:spacing w:before="100" w:beforeAutospacing="1" w:after="100" w:afterAutospacing="1"/>
      <w:jc w:val="left"/>
    </w:pPr>
    <w:rPr>
      <w:color w:val="000000"/>
      <w:kern w:val="0"/>
      <w:sz w:val="18"/>
      <w:szCs w:val="18"/>
    </w:rPr>
  </w:style>
  <w:style w:type="paragraph" w:customStyle="1" w:styleId="108">
    <w:name w:val="xl182"/>
    <w:basedOn w:val="1"/>
    <w:qFormat/>
    <w:uiPriority w:val="0"/>
    <w:pPr>
      <w:widowControl/>
      <w:pBdr>
        <w:top w:val="single" w:color="auto" w:sz="4" w:space="0"/>
        <w:bottom w:val="single" w:color="auto" w:sz="4" w:space="0"/>
        <w:right w:val="single" w:color="auto" w:sz="4" w:space="0"/>
      </w:pBdr>
      <w:shd w:val="clear" w:color="000000" w:fill="E6B8B7"/>
      <w:spacing w:before="100" w:beforeAutospacing="1" w:after="100" w:afterAutospacing="1"/>
      <w:jc w:val="center"/>
      <w:textAlignment w:val="center"/>
    </w:pPr>
    <w:rPr>
      <w:rFonts w:ascii="宋体" w:hAnsi="宋体" w:cs="宋体"/>
      <w:b/>
      <w:bCs/>
      <w:kern w:val="0"/>
      <w:sz w:val="18"/>
      <w:szCs w:val="18"/>
    </w:rPr>
  </w:style>
  <w:style w:type="paragraph" w:customStyle="1" w:styleId="109">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0">
    <w:name w:val="xl1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1">
    <w:name w:val="xl18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2">
    <w:name w:val="xl186"/>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3">
    <w:name w:val="xl1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4">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15">
    <w:name w:val="xl18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16">
    <w:name w:val="xl19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17">
    <w:name w:val="xl19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8">
    <w:name w:val="xl19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9">
    <w:name w:val="xl19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0">
    <w:name w:val="xl19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1">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2">
    <w:name w:val="xl19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3">
    <w:name w:val="xl19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4">
    <w:name w:val="xl198"/>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25">
    <w:name w:val="xl1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6">
    <w:name w:val="xl200"/>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8">
    <w:name w:val="xl84"/>
    <w:basedOn w:val="1"/>
    <w:qFormat/>
    <w:uiPriority w:val="0"/>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129">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1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1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DCE5F1"/>
      <w:spacing w:before="100" w:beforeAutospacing="1" w:after="100" w:afterAutospacing="1"/>
      <w:jc w:val="center"/>
    </w:pPr>
    <w:rPr>
      <w:rFonts w:ascii="宋体" w:hAnsi="宋体" w:cs="宋体"/>
      <w:b/>
      <w:bCs/>
      <w:color w:val="000000"/>
      <w:kern w:val="0"/>
      <w:sz w:val="18"/>
      <w:szCs w:val="18"/>
    </w:rPr>
  </w:style>
  <w:style w:type="paragraph" w:customStyle="1" w:styleId="132">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5">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8"/>
      <w:szCs w:val="18"/>
    </w:rPr>
  </w:style>
  <w:style w:type="paragraph" w:customStyle="1" w:styleId="13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3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38">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3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DCE5F1"/>
      <w:spacing w:before="100" w:beforeAutospacing="1" w:after="100" w:afterAutospacing="1"/>
      <w:jc w:val="center"/>
    </w:pPr>
    <w:rPr>
      <w:rFonts w:ascii="宋体" w:hAnsi="宋体" w:cs="宋体"/>
      <w:color w:val="000000"/>
      <w:kern w:val="0"/>
      <w:sz w:val="18"/>
      <w:szCs w:val="18"/>
    </w:rPr>
  </w:style>
  <w:style w:type="paragraph" w:customStyle="1" w:styleId="140">
    <w:name w:val="xl96"/>
    <w:basedOn w:val="1"/>
    <w:qFormat/>
    <w:uiPriority w:val="0"/>
    <w:pPr>
      <w:widowControl/>
      <w:pBdr>
        <w:top w:val="single" w:color="auto" w:sz="4" w:space="0"/>
        <w:left w:val="single" w:color="auto" w:sz="4" w:space="0"/>
        <w:right w:val="single" w:color="auto" w:sz="4" w:space="0"/>
      </w:pBdr>
      <w:shd w:val="clear" w:color="000000" w:fill="DCE5F1"/>
      <w:spacing w:before="100" w:beforeAutospacing="1" w:after="100" w:afterAutospacing="1"/>
      <w:jc w:val="center"/>
    </w:pPr>
    <w:rPr>
      <w:rFonts w:ascii="宋体" w:hAnsi="宋体" w:cs="宋体"/>
      <w:color w:val="000000"/>
      <w:kern w:val="0"/>
      <w:sz w:val="18"/>
      <w:szCs w:val="18"/>
    </w:rPr>
  </w:style>
  <w:style w:type="paragraph" w:customStyle="1" w:styleId="141">
    <w:name w:val="xl97"/>
    <w:basedOn w:val="1"/>
    <w:uiPriority w:val="0"/>
    <w:pPr>
      <w:widowControl/>
      <w:pBdr>
        <w:top w:val="single" w:color="auto" w:sz="4" w:space="0"/>
        <w:left w:val="single" w:color="auto" w:sz="4" w:space="0"/>
        <w:bottom w:val="single" w:color="auto" w:sz="4" w:space="0"/>
        <w:right w:val="single" w:color="auto" w:sz="4" w:space="0"/>
      </w:pBdr>
      <w:shd w:val="clear" w:color="000000" w:fill="DCE5F1"/>
      <w:spacing w:before="100" w:beforeAutospacing="1" w:after="100" w:afterAutospacing="1"/>
      <w:jc w:val="left"/>
    </w:pPr>
    <w:rPr>
      <w:rFonts w:ascii="宋体" w:hAnsi="宋体" w:cs="宋体"/>
      <w:color w:val="000000"/>
      <w:kern w:val="0"/>
      <w:sz w:val="18"/>
      <w:szCs w:val="18"/>
    </w:rPr>
  </w:style>
  <w:style w:type="paragraph" w:customStyle="1" w:styleId="14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4">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4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15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character" w:customStyle="1" w:styleId="151">
    <w:name w:val="NormalCharacter"/>
    <w:qFormat/>
    <w:uiPriority w:val="0"/>
  </w:style>
  <w:style w:type="paragraph" w:customStyle="1" w:styleId="152">
    <w:name w:val="Default"/>
    <w:qFormat/>
    <w:uiPriority w:val="0"/>
    <w:pPr>
      <w:widowControl w:val="0"/>
      <w:autoSpaceDE w:val="0"/>
      <w:autoSpaceDN w:val="0"/>
      <w:adjustRightInd w:val="0"/>
    </w:pPr>
    <w:rPr>
      <w:rFonts w:ascii="仿宋..賫.." w:hAnsi="Calibri" w:eastAsia="仿宋..賫.." w:cs="仿宋..賫.."/>
      <w:color w:val="000000"/>
      <w:sz w:val="24"/>
      <w:szCs w:val="24"/>
      <w:lang w:val="en-US" w:eastAsia="zh-CN" w:bidi="ar-SA"/>
    </w:rPr>
  </w:style>
  <w:style w:type="character" w:customStyle="1" w:styleId="153">
    <w:name w:val="批注文字 Char"/>
    <w:basedOn w:val="16"/>
    <w:link w:val="4"/>
    <w:semiHidden/>
    <w:qFormat/>
    <w:uiPriority w:val="99"/>
    <w:rPr>
      <w:rFonts w:ascii="Times New Roman" w:hAnsi="Times New Roman" w:eastAsia="宋体" w:cs="Times New Roman"/>
      <w:szCs w:val="24"/>
    </w:rPr>
  </w:style>
  <w:style w:type="character" w:customStyle="1" w:styleId="154">
    <w:name w:val="批注主题 Char"/>
    <w:basedOn w:val="153"/>
    <w:link w:val="13"/>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DDCA-42AB-4FC0-AFCE-7042AB802D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7050</Words>
  <Characters>7911</Characters>
  <Lines>59</Lines>
  <Paragraphs>16</Paragraphs>
  <TotalTime>214</TotalTime>
  <ScaleCrop>false</ScaleCrop>
  <LinksUpToDate>false</LinksUpToDate>
  <CharactersWithSpaces>7938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2021-06-04T02:24:00Z</dcterms:created>
  <dc:creator>ivviw</dc:creator>
  <cp:lastModifiedBy>hexuefei</cp:lastModifiedBy>
  <cp:lastPrinted>2022-12-19T08:42:56Z</cp:lastPrinted>
  <dcterms:modified xsi:type="dcterms:W3CDTF">2022-12-19T08:43:00Z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B350BC4D219C462DA13E0ACD1A7AE6E2</vt:lpwstr>
  </property>
</Properties>
</file>